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18"/>
        <w:rPr>
          <w:rFonts w:hint="eastAsia" w:ascii="黑体" w:eastAsia="黑体"/>
          <w:color w:val="000000"/>
          <w:sz w:val="32"/>
        </w:rPr>
      </w:pPr>
      <w:bookmarkStart w:id="0" w:name="KPriority"/>
      <w:bookmarkEnd w:id="0"/>
    </w:p>
    <w:p>
      <w:pPr>
        <w:spacing w:line="560" w:lineRule="exact"/>
        <w:ind w:right="618"/>
        <w:rPr>
          <w:rFonts w:hint="eastAsia" w:ascii="黑体" w:eastAsia="黑体"/>
          <w:color w:val="000000"/>
          <w:sz w:val="32"/>
        </w:rPr>
      </w:pPr>
    </w:p>
    <w:p>
      <w:pPr>
        <w:spacing w:line="560" w:lineRule="exact"/>
        <w:ind w:right="618"/>
        <w:rPr>
          <w:rFonts w:hint="eastAsia" w:ascii="黑体" w:eastAsia="黑体"/>
          <w:color w:val="000000"/>
          <w:sz w:val="32"/>
        </w:rPr>
      </w:pPr>
    </w:p>
    <w:p>
      <w:pPr>
        <w:spacing w:line="720" w:lineRule="auto"/>
        <w:jc w:val="center"/>
        <w:outlineLvl w:val="0"/>
        <w:rPr>
          <w:rFonts w:ascii="黑体" w:eastAsia="方正小标宋简体"/>
          <w:color w:val="FF0000"/>
          <w:w w:val="70"/>
          <w:sz w:val="94"/>
          <w:szCs w:val="94"/>
        </w:rPr>
      </w:pPr>
      <w:r>
        <w:rPr>
          <w:rFonts w:hint="eastAsia" w:ascii="方正小标宋简体" w:eastAsia="方正小标宋简体"/>
          <w:color w:val="FF0000"/>
          <w:w w:val="55"/>
          <w:sz w:val="94"/>
          <w:szCs w:val="94"/>
        </w:rPr>
        <w:t>中国人民银行兰州中心支行办公室文件</w:t>
      </w:r>
    </w:p>
    <w:p>
      <w:pPr>
        <w:spacing w:line="560" w:lineRule="exact"/>
        <w:jc w:val="center"/>
        <w:rPr>
          <w:rFonts w:hint="eastAsia" w:ascii="仿宋_GB2312" w:hAnsi="仿宋_GB2312" w:eastAsia="仿宋_GB2312" w:cs="仿宋_GB2312"/>
          <w:color w:val="000000"/>
          <w:sz w:val="32"/>
        </w:rPr>
      </w:pPr>
    </w:p>
    <w:p>
      <w:pPr>
        <w:spacing w:line="560" w:lineRule="exact"/>
        <w:jc w:val="center"/>
        <w:rPr>
          <w:rFonts w:hint="eastAsia" w:ascii="仿宋_GB2312" w:hAnsi="仿宋_GB2312" w:eastAsia="仿宋_GB2312" w:cs="仿宋_GB2312"/>
          <w:color w:val="000000"/>
          <w:sz w:val="32"/>
        </w:rPr>
      </w:pPr>
    </w:p>
    <w:p>
      <w:pPr>
        <w:spacing w:line="560" w:lineRule="exact"/>
        <w:jc w:val="center"/>
        <w:rPr>
          <w:rFonts w:hint="eastAsia" w:ascii="仿宋_GB2312" w:hAnsi="仿宋_GB2312" w:eastAsia="仿宋_GB2312" w:cs="仿宋_GB2312"/>
          <w:color w:val="000000"/>
          <w:sz w:val="32"/>
          <w:lang w:eastAsia="zh-CN"/>
        </w:rPr>
      </w:pPr>
      <w:bookmarkStart w:id="1" w:name="TFileNo"/>
      <w:r>
        <w:rPr>
          <w:rFonts w:hint="eastAsia" w:ascii="仿宋_GB2312" w:hAnsi="仿宋_GB2312" w:eastAsia="仿宋_GB2312" w:cs="仿宋_GB2312"/>
          <w:color w:val="000000"/>
          <w:sz w:val="32"/>
          <w:lang w:eastAsia="zh-CN"/>
        </w:rPr>
        <w:t>兰银办〔2020〕173号</w:t>
      </w:r>
      <w:bookmarkEnd w:id="1"/>
    </w:p>
    <w:p>
      <w:pPr>
        <w:spacing w:line="560" w:lineRule="exact"/>
        <w:jc w:val="center"/>
        <w:rPr>
          <w:rFonts w:hint="eastAsia" w:ascii="仿宋_GB2312" w:hAnsi="仿宋_GB2312" w:eastAsia="仿宋_GB2312" w:cs="仿宋_GB2312"/>
          <w:color w:val="000000"/>
          <w:sz w:val="32"/>
        </w:rPr>
      </w:pPr>
      <w:bookmarkStart w:id="5" w:name="_GoBack"/>
      <w:r>
        <w:rPr>
          <w:rFonts w:hint="eastAsia" w:ascii="仿宋_GB2312" w:hAnsi="仿宋_GB2312" w:eastAsia="仿宋_GB2312" w:cs="仿宋_GB2312"/>
          <w:color w:val="000000"/>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SpPr/>
                      <wps:spPr>
                        <a:xfrm flipV="1">
                          <a:off x="0" y="0"/>
                          <a:ext cx="5615940" cy="0"/>
                        </a:xfrm>
                        <a:prstGeom prst="line">
                          <a:avLst/>
                        </a:prstGeom>
                        <a:ln w="180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0pt;height:0pt;width:442.2pt;z-index:251659264;mso-width-relative:page;mso-height-relative:page;" filled="f" stroked="t" coordsize="21600,21600" o:gfxdata="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Kzj80gAAAAIBAAAPAAAAAAAAAAEAIAAAACIAAABkcnMvZG93bnJldi54bWxQSwEC&#10;FAAUAAAACACHTuJAoVBG9PoBAADvAwAADgAAAAAAAAABACAAAAAhAQAAZHJzL2Uyb0RvYy54bWxQ&#10;SwUGAAAAAAYABgBZAQAAjQUAAAAA&#10;">
                <v:path arrowok="t"/>
                <v:fill on="f" focussize="0,0"/>
                <v:stroke weight="1.41732283464567pt" color="#FF0000"/>
                <v:imagedata o:title=""/>
                <o:lock v:ext="edit" grouping="f" rotation="f" text="f" aspectratio="f"/>
              </v:line>
            </w:pict>
          </mc:Fallback>
        </mc:AlternateContent>
      </w:r>
      <w:bookmarkEnd w:id="5"/>
    </w:p>
    <w:p>
      <w:pPr>
        <w:spacing w:line="560" w:lineRule="exact"/>
        <w:jc w:val="center"/>
        <w:rPr>
          <w:rFonts w:hint="eastAsia" w:ascii="仿宋_GB2312" w:hAnsi="仿宋_GB2312" w:eastAsia="仿宋_GB2312" w:cs="仿宋_GB2312"/>
          <w:color w:val="000000"/>
          <w:sz w:val="32"/>
        </w:rPr>
      </w:pPr>
    </w:p>
    <w:p>
      <w:pPr>
        <w:spacing w:line="720" w:lineRule="exact"/>
        <w:jc w:val="center"/>
        <w:rPr>
          <w:rFonts w:hint="eastAsia" w:ascii="方正小标宋简体" w:eastAsia="方正小标宋简体"/>
          <w:color w:val="000000"/>
          <w:sz w:val="44"/>
          <w:lang w:eastAsia="zh-CN"/>
        </w:rPr>
      </w:pPr>
      <w:bookmarkStart w:id="2" w:name="TTitle"/>
      <w:r>
        <w:rPr>
          <w:rFonts w:hint="eastAsia" w:ascii="方正小标宋简体" w:eastAsia="方正小标宋简体"/>
          <w:color w:val="000000"/>
          <w:sz w:val="44"/>
          <w:lang w:eastAsia="zh-CN"/>
        </w:rPr>
        <w:t>中国人民银行兰州中心支行办公室关于进一步规范省内金融机构会计资料报送、重大</w:t>
      </w:r>
    </w:p>
    <w:p>
      <w:pPr>
        <w:spacing w:line="720" w:lineRule="exact"/>
        <w:jc w:val="center"/>
        <w:rPr>
          <w:rFonts w:hint="eastAsia" w:ascii="方正小标宋简体" w:eastAsia="方正小标宋简体"/>
          <w:color w:val="000000"/>
          <w:sz w:val="44"/>
          <w:lang w:eastAsia="zh-CN"/>
        </w:rPr>
      </w:pPr>
      <w:r>
        <w:rPr>
          <w:rFonts w:hint="eastAsia" w:ascii="方正小标宋简体" w:eastAsia="方正小标宋简体"/>
          <w:color w:val="000000"/>
          <w:sz w:val="44"/>
          <w:lang w:eastAsia="zh-CN"/>
        </w:rPr>
        <w:t>会计事项报告等工作的通知</w:t>
      </w:r>
      <w:bookmarkEnd w:id="2"/>
    </w:p>
    <w:p>
      <w:pPr>
        <w:spacing w:line="560" w:lineRule="exact"/>
        <w:jc w:val="center"/>
        <w:rPr>
          <w:rFonts w:hint="eastAsia" w:ascii="仿宋_GB2312" w:eastAsia="仿宋_GB2312"/>
          <w:color w:val="000000"/>
          <w:sz w:val="32"/>
        </w:rPr>
      </w:pPr>
    </w:p>
    <w:p>
      <w:pPr>
        <w:spacing w:line="560" w:lineRule="exact"/>
        <w:rPr>
          <w:rFonts w:hint="eastAsia" w:ascii="仿宋_GB2312" w:eastAsia="仿宋_GB2312"/>
          <w:color w:val="000000"/>
          <w:sz w:val="32"/>
        </w:rPr>
      </w:pPr>
      <w:bookmarkStart w:id="3" w:name="TSendTo"/>
      <w:r>
        <w:rPr>
          <w:rFonts w:hint="eastAsia" w:ascii="仿宋_GB2312" w:eastAsia="仿宋_GB2312"/>
          <w:color w:val="000000"/>
          <w:sz w:val="32"/>
          <w:lang w:eastAsia="zh-CN"/>
        </w:rPr>
        <w:t>人民银行省内各市州中心支行、直属各支行，国家开发银行甘肃省分行，各政策性银行甘肃省分行，各国有商业银行甘肃省分行，各股份制银行兰州分行，邮政储蓄银行甘肃省分行，农村信用社联合社，甘肃银行，兰州银行，各村镇银行，金川集团财务有限公司，酒钢集团财务有限公司，甘肃电投财务有限公司，甘肃兰银金融租赁股份有限公司，信达金融租赁股份有限公司</w:t>
      </w:r>
      <w:bookmarkEnd w:id="3"/>
      <w:r>
        <w:rPr>
          <w:rFonts w:hint="eastAsia" w:ascii="仿宋_GB2312" w:eastAsia="仿宋_GB2312"/>
          <w:color w:val="000000"/>
          <w:sz w:val="32"/>
        </w:rPr>
        <w:t>：</w:t>
      </w:r>
    </w:p>
    <w:p>
      <w:pPr>
        <w:spacing w:line="560" w:lineRule="exact"/>
        <w:ind w:firstLine="622" w:firstLineChars="200"/>
        <w:rPr>
          <w:rFonts w:ascii="仿宋_GB2312" w:eastAsia="仿宋_GB2312"/>
          <w:sz w:val="32"/>
          <w:szCs w:val="32"/>
        </w:rPr>
      </w:pPr>
      <w:bookmarkStart w:id="4" w:name="Content"/>
      <w:bookmarkEnd w:id="4"/>
      <w:r>
        <w:rPr>
          <w:rFonts w:hint="eastAsia" w:ascii="仿宋_GB2312" w:eastAsia="仿宋_GB2312"/>
          <w:sz w:val="32"/>
          <w:szCs w:val="32"/>
        </w:rPr>
        <w:t>为进一步强化会计业务监管，确保综合评价</w:t>
      </w:r>
      <w:r>
        <w:rPr>
          <w:rFonts w:hint="eastAsia" w:ascii="仿宋_GB2312" w:eastAsia="仿宋_GB2312"/>
          <w:sz w:val="32"/>
          <w:szCs w:val="32"/>
          <w:lang w:val="en-US" w:eastAsia="zh-CN"/>
        </w:rPr>
        <w:t>会计管理类业务分项评价</w:t>
      </w:r>
      <w:r>
        <w:rPr>
          <w:rFonts w:hint="eastAsia" w:ascii="仿宋_GB2312" w:eastAsia="仿宋_GB2312"/>
          <w:sz w:val="32"/>
          <w:szCs w:val="32"/>
        </w:rPr>
        <w:t>客观公正，依据《中华人民共和国中国人民银行法》《中华人民共和国商业银行法》及中国人民银行有关规章制度，现将</w:t>
      </w:r>
      <w:r>
        <w:rPr>
          <w:rFonts w:hint="eastAsia" w:ascii="仿宋_GB2312" w:eastAsia="仿宋_GB2312"/>
          <w:sz w:val="32"/>
          <w:szCs w:val="32"/>
          <w:lang w:val="en-US" w:eastAsia="zh-CN"/>
        </w:rPr>
        <w:t>省内</w:t>
      </w:r>
      <w:r>
        <w:rPr>
          <w:rFonts w:hint="eastAsia" w:ascii="仿宋_GB2312" w:eastAsia="仿宋_GB2312"/>
          <w:sz w:val="32"/>
          <w:szCs w:val="32"/>
        </w:rPr>
        <w:t>各金融机构向</w:t>
      </w:r>
      <w:r>
        <w:rPr>
          <w:rFonts w:hint="eastAsia" w:ascii="仿宋_GB2312" w:eastAsia="仿宋_GB2312"/>
          <w:sz w:val="32"/>
          <w:szCs w:val="32"/>
          <w:lang w:val="en-US" w:eastAsia="zh-CN"/>
        </w:rPr>
        <w:t>当地</w:t>
      </w:r>
      <w:r>
        <w:rPr>
          <w:rFonts w:hint="eastAsia" w:ascii="仿宋_GB2312" w:eastAsia="仿宋_GB2312"/>
          <w:sz w:val="32"/>
          <w:szCs w:val="32"/>
        </w:rPr>
        <w:t>人民银行报送会计决算资料、报告重大会计事项等工作进一步提出明确要求，请认真遵照执行。</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一、会计决算资料报送</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年度会计决算资料主要包括资产负债表、人民币(外汇)业务状况报告表(表内表外)、利润表(损益表)、现金流量表、利润分配表、所有者权益变动表、其他相关附表</w:t>
      </w:r>
      <w:r>
        <w:rPr>
          <w:rFonts w:hint="eastAsia" w:ascii="仿宋_GB2312" w:eastAsia="仿宋_GB2312"/>
          <w:sz w:val="32"/>
          <w:szCs w:val="32"/>
          <w:lang w:eastAsia="zh-CN"/>
        </w:rPr>
        <w:t>、</w:t>
      </w:r>
      <w:r>
        <w:rPr>
          <w:rFonts w:hint="eastAsia" w:ascii="仿宋_GB2312" w:eastAsia="仿宋_GB2312"/>
          <w:sz w:val="32"/>
          <w:szCs w:val="32"/>
          <w:lang w:val="en-US" w:eastAsia="zh-CN"/>
        </w:rPr>
        <w:t>会计报表附注和决算说明书</w:t>
      </w:r>
      <w:r>
        <w:rPr>
          <w:rFonts w:hint="eastAsia" w:ascii="仿宋_GB2312" w:eastAsia="仿宋_GB2312"/>
          <w:sz w:val="32"/>
          <w:szCs w:val="32"/>
        </w:rPr>
        <w:t>(见附件)。</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年度会计决算资料于次年3月底前报送人民银行，并将</w:t>
      </w:r>
      <w:r>
        <w:rPr>
          <w:rFonts w:hint="eastAsia" w:ascii="仿宋_GB2312" w:eastAsia="仿宋_GB2312"/>
          <w:sz w:val="32"/>
          <w:szCs w:val="32"/>
          <w:lang w:val="en-US" w:eastAsia="zh-CN"/>
        </w:rPr>
        <w:t>决算说明书</w:t>
      </w:r>
      <w:r>
        <w:rPr>
          <w:rFonts w:hint="eastAsia" w:ascii="仿宋_GB2312" w:eastAsia="仿宋_GB2312"/>
          <w:sz w:val="32"/>
          <w:szCs w:val="32"/>
        </w:rPr>
        <w:t>及附件2电子版报送到指定邮箱。</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二、重大会计事项报告</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重大会计事项主要包括会计制度变更、会计科目名称代码及核算内容调整变动、会计核算方式</w:t>
      </w:r>
      <w:r>
        <w:rPr>
          <w:rFonts w:hint="eastAsia" w:ascii="仿宋_GB2312" w:eastAsia="仿宋_GB2312"/>
          <w:sz w:val="32"/>
          <w:szCs w:val="32"/>
          <w:lang w:val="en-US" w:eastAsia="zh-CN"/>
        </w:rPr>
        <w:t>变更</w:t>
      </w:r>
      <w:r>
        <w:rPr>
          <w:rFonts w:hint="eastAsia" w:ascii="仿宋_GB2312" w:eastAsia="仿宋_GB2312"/>
          <w:sz w:val="32"/>
          <w:szCs w:val="32"/>
          <w:lang w:eastAsia="zh-CN"/>
        </w:rPr>
        <w:t>、</w:t>
      </w:r>
      <w:r>
        <w:rPr>
          <w:rFonts w:hint="eastAsia" w:ascii="仿宋_GB2312" w:eastAsia="仿宋_GB2312"/>
          <w:sz w:val="32"/>
          <w:szCs w:val="32"/>
        </w:rPr>
        <w:t>业务核算改革</w:t>
      </w:r>
      <w:r>
        <w:rPr>
          <w:rFonts w:hint="eastAsia" w:ascii="仿宋_GB2312" w:eastAsia="仿宋_GB2312"/>
          <w:sz w:val="32"/>
          <w:szCs w:val="32"/>
          <w:lang w:val="en-US" w:eastAsia="zh-CN"/>
        </w:rPr>
        <w:t>以及涉及重大会计差错、会计案件、系统故障、系统中断等造成较大经济损失的重大会计事项</w:t>
      </w:r>
      <w:r>
        <w:rPr>
          <w:rFonts w:hint="eastAsia" w:ascii="仿宋_GB2312" w:eastAsia="仿宋_GB2312"/>
          <w:sz w:val="32"/>
          <w:szCs w:val="32"/>
        </w:rPr>
        <w:t>等。重大会计事项报告应报送</w:t>
      </w:r>
      <w:r>
        <w:rPr>
          <w:rFonts w:hint="eastAsia" w:ascii="仿宋_GB2312" w:eastAsia="仿宋_GB2312"/>
          <w:sz w:val="32"/>
          <w:szCs w:val="32"/>
          <w:lang w:val="en-US" w:eastAsia="zh-CN"/>
        </w:rPr>
        <w:t>的</w:t>
      </w:r>
      <w:r>
        <w:rPr>
          <w:rFonts w:hint="eastAsia" w:ascii="仿宋_GB2312" w:eastAsia="仿宋_GB2312"/>
          <w:sz w:val="32"/>
          <w:szCs w:val="32"/>
        </w:rPr>
        <w:t>资料包括</w:t>
      </w:r>
      <w:r>
        <w:rPr>
          <w:rFonts w:hint="eastAsia" w:ascii="仿宋_GB2312" w:eastAsia="仿宋_GB2312"/>
          <w:sz w:val="32"/>
          <w:szCs w:val="32"/>
          <w:lang w:eastAsia="zh-CN"/>
        </w:rPr>
        <w:t>：</w:t>
      </w:r>
      <w:r>
        <w:rPr>
          <w:rFonts w:hint="eastAsia" w:ascii="仿宋_GB2312" w:eastAsia="仿宋_GB2312"/>
          <w:sz w:val="32"/>
          <w:szCs w:val="32"/>
        </w:rPr>
        <w:t>印发执行的会计制度、会计科目调整变动文件、正式启用的会计科目表及其使用说明、新旧会计科目对照表、会计报表(人民币、外汇)表样以及</w:t>
      </w:r>
      <w:r>
        <w:rPr>
          <w:rFonts w:hint="eastAsia" w:ascii="仿宋_GB2312" w:eastAsia="仿宋_GB2312"/>
          <w:sz w:val="32"/>
          <w:szCs w:val="32"/>
          <w:lang w:val="en-US" w:eastAsia="zh-CN"/>
        </w:rPr>
        <w:t>涉及</w:t>
      </w:r>
      <w:r>
        <w:rPr>
          <w:rFonts w:hint="eastAsia" w:ascii="仿宋_GB2312" w:eastAsia="仿宋_GB2312"/>
          <w:sz w:val="32"/>
          <w:szCs w:val="32"/>
        </w:rPr>
        <w:t>重大会计事项的报告、文件等。</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涉及重大会计差错、会计案件、系统故障、系统中断等造成较大经济损失的重大会计事</w:t>
      </w:r>
      <w:r>
        <w:rPr>
          <w:rFonts w:hint="eastAsia" w:ascii="仿宋_GB2312" w:eastAsia="仿宋_GB2312"/>
          <w:sz w:val="32"/>
          <w:szCs w:val="32"/>
          <w:lang w:val="en-US" w:eastAsia="zh-CN"/>
        </w:rPr>
        <w:t>项</w:t>
      </w:r>
      <w:r>
        <w:rPr>
          <w:rFonts w:hint="eastAsia" w:ascii="仿宋_GB2312" w:eastAsia="仿宋_GB2312"/>
          <w:sz w:val="32"/>
          <w:szCs w:val="32"/>
        </w:rPr>
        <w:t>，</w:t>
      </w:r>
      <w:r>
        <w:rPr>
          <w:rFonts w:hint="eastAsia" w:ascii="仿宋_GB2312" w:eastAsia="仿宋_GB2312"/>
          <w:sz w:val="32"/>
          <w:szCs w:val="32"/>
          <w:highlight w:val="none"/>
        </w:rPr>
        <w:t>于发生之日起2个工作日内及时报备有关情况说明；</w:t>
      </w:r>
      <w:r>
        <w:rPr>
          <w:rFonts w:hint="eastAsia" w:ascii="仿宋_GB2312" w:eastAsia="仿宋_GB2312"/>
          <w:sz w:val="32"/>
          <w:szCs w:val="32"/>
        </w:rPr>
        <w:t>涉及会计制度变更、会计科目调整、会计主管变更等重大会计事项，于发布或调整之日起1个月内报送相关资料。</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三、财政存款和一般存款准备金交存相关资料</w:t>
      </w:r>
    </w:p>
    <w:p>
      <w:pPr>
        <w:spacing w:line="560" w:lineRule="exact"/>
        <w:ind w:firstLine="622" w:firstLineChars="200"/>
        <w:rPr>
          <w:rFonts w:ascii="楷体_GB2312" w:eastAsia="楷体_GB2312"/>
          <w:sz w:val="32"/>
          <w:szCs w:val="32"/>
        </w:rPr>
      </w:pPr>
      <w:r>
        <w:rPr>
          <w:rFonts w:hint="eastAsia" w:ascii="楷体_GB2312" w:eastAsia="楷体_GB2312"/>
          <w:sz w:val="32"/>
          <w:szCs w:val="32"/>
        </w:rPr>
        <w:t>（一）法人金融机构</w:t>
      </w:r>
      <w:r>
        <w:rPr>
          <w:rFonts w:hint="eastAsia" w:ascii="楷体_GB2312" w:eastAsia="楷体_GB2312"/>
          <w:sz w:val="32"/>
          <w:szCs w:val="32"/>
          <w:lang w:eastAsia="zh-CN"/>
        </w:rPr>
        <w:t>。</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法人金融机构(人民币、外汇)会计科目或核算内容有重大变化，涉及财政存款和一般存款准备金交存范围调整的，在新会计科目及核算事项正式启用、实施前1个月内，以正式文件申请核定，并报送规定资料</w:t>
      </w:r>
      <w:r>
        <w:rPr>
          <w:rFonts w:hint="eastAsia" w:ascii="仿宋_GB2312" w:eastAsia="仿宋_GB2312"/>
          <w:sz w:val="32"/>
          <w:szCs w:val="32"/>
          <w:lang w:eastAsia="zh-CN"/>
        </w:rPr>
        <w:t>，</w:t>
      </w:r>
      <w:r>
        <w:rPr>
          <w:rFonts w:hint="eastAsia" w:ascii="仿宋_GB2312" w:eastAsia="仿宋_GB2312"/>
          <w:sz w:val="32"/>
          <w:szCs w:val="32"/>
          <w:lang w:val="en-US" w:eastAsia="zh-CN"/>
        </w:rPr>
        <w:t>包括</w:t>
      </w:r>
      <w:r>
        <w:rPr>
          <w:rFonts w:hint="eastAsia" w:ascii="仿宋_GB2312" w:eastAsia="仿宋_GB2312"/>
          <w:sz w:val="32"/>
          <w:szCs w:val="32"/>
        </w:rPr>
        <w:t>：调整后的会计科目及其使用说明、业务状况</w:t>
      </w:r>
      <w:r>
        <w:rPr>
          <w:rFonts w:hint="eastAsia" w:ascii="仿宋_GB2312" w:eastAsia="仿宋_GB2312"/>
          <w:sz w:val="32"/>
          <w:szCs w:val="32"/>
          <w:lang w:val="en-US" w:eastAsia="zh-CN"/>
        </w:rPr>
        <w:t>报告</w:t>
      </w:r>
      <w:r>
        <w:rPr>
          <w:rFonts w:hint="eastAsia" w:ascii="仿宋_GB2312" w:eastAsia="仿宋_GB2312"/>
          <w:sz w:val="32"/>
          <w:szCs w:val="32"/>
        </w:rPr>
        <w:t>表（全科目）、</w:t>
      </w:r>
      <w:r>
        <w:rPr>
          <w:rFonts w:hint="eastAsia" w:ascii="仿宋_GB2312" w:eastAsia="仿宋_GB2312"/>
          <w:sz w:val="32"/>
          <w:szCs w:val="32"/>
          <w:lang w:val="en-US" w:eastAsia="zh-CN"/>
        </w:rPr>
        <w:t>新旧</w:t>
      </w:r>
      <w:r>
        <w:rPr>
          <w:rFonts w:hint="eastAsia" w:ascii="仿宋_GB2312" w:eastAsia="仿宋_GB2312"/>
          <w:sz w:val="32"/>
          <w:szCs w:val="32"/>
        </w:rPr>
        <w:t>会计科目对照表等。</w:t>
      </w:r>
    </w:p>
    <w:p>
      <w:pPr>
        <w:spacing w:line="560" w:lineRule="exact"/>
        <w:ind w:firstLine="622" w:firstLineChars="200"/>
        <w:rPr>
          <w:rFonts w:ascii="楷体_GB2312" w:eastAsia="楷体_GB2312"/>
          <w:sz w:val="32"/>
          <w:szCs w:val="32"/>
        </w:rPr>
      </w:pPr>
      <w:r>
        <w:rPr>
          <w:rFonts w:hint="eastAsia" w:ascii="楷体_GB2312" w:eastAsia="楷体_GB2312"/>
          <w:sz w:val="32"/>
          <w:szCs w:val="32"/>
        </w:rPr>
        <w:t>（二）非法人金融机构</w:t>
      </w:r>
      <w:r>
        <w:rPr>
          <w:rFonts w:hint="eastAsia" w:ascii="楷体_GB2312" w:eastAsia="楷体_GB2312"/>
          <w:sz w:val="32"/>
          <w:szCs w:val="32"/>
          <w:lang w:eastAsia="zh-CN"/>
        </w:rPr>
        <w:t>。</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非法人金融机构会计科目或核算内容有重大变化，涉及财政存款交存范围调整的，在调整后1个月内，报备规定资料</w:t>
      </w:r>
      <w:r>
        <w:rPr>
          <w:rFonts w:hint="eastAsia" w:ascii="仿宋_GB2312" w:eastAsia="仿宋_GB2312"/>
          <w:sz w:val="32"/>
          <w:szCs w:val="32"/>
          <w:lang w:eastAsia="zh-CN"/>
        </w:rPr>
        <w:t>，</w:t>
      </w:r>
      <w:r>
        <w:rPr>
          <w:rFonts w:hint="eastAsia" w:ascii="仿宋_GB2312" w:eastAsia="仿宋_GB2312"/>
          <w:sz w:val="32"/>
          <w:szCs w:val="32"/>
          <w:lang w:val="en-US" w:eastAsia="zh-CN"/>
        </w:rPr>
        <w:t>包括</w:t>
      </w:r>
      <w:r>
        <w:rPr>
          <w:rFonts w:hint="eastAsia" w:ascii="仿宋_GB2312" w:eastAsia="仿宋_GB2312"/>
          <w:sz w:val="32"/>
          <w:szCs w:val="32"/>
        </w:rPr>
        <w:t>：其法人金融机构所在地人民银行对调整交存范围的批复文件、调整后的会计科目及其使用说明等。</w:t>
      </w:r>
    </w:p>
    <w:p>
      <w:pPr>
        <w:spacing w:line="560" w:lineRule="exact"/>
        <w:ind w:firstLine="622" w:firstLineChars="200"/>
        <w:rPr>
          <w:rFonts w:ascii="黑体" w:hAnsi="黑体" w:eastAsia="黑体"/>
          <w:sz w:val="32"/>
          <w:szCs w:val="32"/>
        </w:rPr>
      </w:pPr>
      <w:r>
        <w:rPr>
          <w:rFonts w:hint="eastAsia" w:ascii="黑体" w:hAnsi="黑体" w:eastAsia="黑体"/>
          <w:sz w:val="32"/>
          <w:szCs w:val="32"/>
        </w:rPr>
        <w:t>四、报送方式及要求</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会计业务资料报送和重大会计事项报告，按照“属地”管理原则，兰州市各金融机构向人民银行兰州中心支行报送，各金融机构所辖分支机构向所在地人民银行报送。</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为确保会计资料及信息安全严密、真实有效，各金融机构报送的会计资料要装订成册并将公、私印章加盖齐全。</w:t>
      </w:r>
    </w:p>
    <w:p>
      <w:pPr>
        <w:spacing w:line="560" w:lineRule="exact"/>
        <w:ind w:firstLine="622" w:firstLineChars="200"/>
        <w:rPr>
          <w:rFonts w:hint="eastAsia" w:ascii="仿宋_GB2312" w:eastAsia="仿宋_GB2312"/>
          <w:sz w:val="32"/>
          <w:szCs w:val="32"/>
        </w:rPr>
      </w:pPr>
      <w:r>
        <w:rPr>
          <w:rFonts w:hint="eastAsia" w:ascii="仿宋_GB2312" w:eastAsia="仿宋_GB2312"/>
          <w:sz w:val="32"/>
          <w:szCs w:val="32"/>
        </w:rPr>
        <w:t>各金融机构</w:t>
      </w:r>
      <w:r>
        <w:rPr>
          <w:rFonts w:hint="eastAsia" w:ascii="仿宋_GB2312" w:eastAsia="仿宋_GB2312"/>
          <w:sz w:val="32"/>
          <w:szCs w:val="32"/>
          <w:lang w:val="en-US" w:eastAsia="zh-CN"/>
        </w:rPr>
        <w:t>要</w:t>
      </w:r>
      <w:r>
        <w:rPr>
          <w:rFonts w:hint="eastAsia" w:ascii="仿宋_GB2312" w:eastAsia="仿宋_GB2312"/>
          <w:sz w:val="32"/>
          <w:szCs w:val="32"/>
        </w:rPr>
        <w:t>重视会计资料报送、重大会计事项报告等工作，进一步加强辖属各级机构和内部业务部门的组织、管理</w:t>
      </w:r>
      <w:r>
        <w:rPr>
          <w:rFonts w:hint="eastAsia" w:ascii="仿宋_GB2312" w:eastAsia="仿宋_GB2312"/>
          <w:sz w:val="32"/>
          <w:szCs w:val="32"/>
          <w:lang w:eastAsia="zh-CN"/>
        </w:rPr>
        <w:t>、</w:t>
      </w:r>
      <w:r>
        <w:rPr>
          <w:rFonts w:hint="eastAsia" w:ascii="仿宋_GB2312" w:eastAsia="仿宋_GB2312"/>
          <w:sz w:val="32"/>
          <w:szCs w:val="32"/>
        </w:rPr>
        <w:t>协调，确保相关工作及时有效落实到位。</w:t>
      </w:r>
    </w:p>
    <w:p>
      <w:pPr>
        <w:spacing w:line="560" w:lineRule="exact"/>
        <w:ind w:firstLine="622" w:firstLineChars="200"/>
        <w:rPr>
          <w:rFonts w:hint="eastAsia" w:ascii="仿宋_GB2312" w:eastAsia="仿宋_GB2312"/>
          <w:sz w:val="32"/>
          <w:szCs w:val="32"/>
        </w:rPr>
      </w:pPr>
      <w:r>
        <w:rPr>
          <w:rFonts w:hint="eastAsia" w:ascii="仿宋_GB2312" w:hAnsi="仿宋_GB2312" w:eastAsia="仿宋_GB2312" w:cs="仿宋_GB2312"/>
          <w:sz w:val="32"/>
          <w:szCs w:val="32"/>
        </w:rPr>
        <w:t>请人民银行各市、州中心支行将本通知转发至辖内农村商业银行、农村合作银行、农村信用社、村镇银行。</w:t>
      </w:r>
    </w:p>
    <w:p>
      <w:pPr>
        <w:spacing w:line="560" w:lineRule="exact"/>
        <w:ind w:firstLine="622" w:firstLineChars="200"/>
        <w:rPr>
          <w:rFonts w:ascii="仿宋_GB2312" w:eastAsia="仿宋_GB2312"/>
          <w:sz w:val="32"/>
          <w:szCs w:val="32"/>
        </w:rPr>
      </w:pPr>
      <w:r>
        <w:rPr>
          <w:rFonts w:ascii="仿宋_GB2312" w:eastAsia="仿宋_GB2312"/>
          <w:sz w:val="32"/>
          <w:szCs w:val="32"/>
        </w:rPr>
        <w:t xml:space="preserve"> </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附</w:t>
      </w:r>
      <w:r>
        <w:rPr>
          <w:rFonts w:hint="eastAsia" w:ascii="仿宋_GB2312" w:eastAsia="仿宋_GB2312"/>
          <w:sz w:val="32"/>
          <w:szCs w:val="32"/>
          <w:lang w:eastAsia="zh-CN"/>
        </w:rPr>
        <w:t>件</w:t>
      </w:r>
      <w:r>
        <w:rPr>
          <w:rFonts w:hint="eastAsia" w:ascii="仿宋_GB2312" w:eastAsia="仿宋_GB2312"/>
          <w:sz w:val="32"/>
          <w:szCs w:val="32"/>
        </w:rPr>
        <w:t>：1.金融机构</w:t>
      </w:r>
      <w:r>
        <w:rPr>
          <w:rFonts w:hint="eastAsia" w:ascii="仿宋_GB2312" w:eastAsia="仿宋_GB2312"/>
          <w:sz w:val="32"/>
          <w:szCs w:val="32"/>
          <w:lang w:val="en-US" w:eastAsia="zh-CN"/>
        </w:rPr>
        <w:t>决算说明书</w:t>
      </w:r>
      <w:r>
        <w:rPr>
          <w:rFonts w:hint="eastAsia" w:ascii="仿宋_GB2312" w:eastAsia="仿宋_GB2312"/>
          <w:sz w:val="32"/>
          <w:szCs w:val="32"/>
        </w:rPr>
        <w:t>指引</w:t>
      </w:r>
    </w:p>
    <w:p>
      <w:pPr>
        <w:numPr>
          <w:ilvl w:val="0"/>
          <w:numId w:val="0"/>
        </w:numPr>
        <w:spacing w:line="560" w:lineRule="exact"/>
        <w:ind w:firstLine="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w:t>
      </w:r>
      <w:r>
        <w:rPr>
          <w:rFonts w:hint="eastAsia" w:ascii="仿宋_GB2312" w:eastAsia="仿宋_GB2312"/>
          <w:sz w:val="32"/>
          <w:szCs w:val="32"/>
        </w:rPr>
        <w:t>××年××（金融机构）</w:t>
      </w:r>
      <w:r>
        <w:rPr>
          <w:rFonts w:hint="eastAsia" w:ascii="仿宋_GB2312" w:eastAsia="仿宋_GB2312"/>
          <w:sz w:val="32"/>
          <w:szCs w:val="32"/>
          <w:lang w:val="en-US" w:eastAsia="zh-CN"/>
        </w:rPr>
        <w:t>会计分析指标表</w:t>
      </w:r>
    </w:p>
    <w:p>
      <w:pPr>
        <w:numPr>
          <w:ilvl w:val="0"/>
          <w:numId w:val="0"/>
        </w:numPr>
        <w:spacing w:line="560" w:lineRule="exact"/>
        <w:ind w:firstLine="1244" w:firstLineChars="400"/>
        <w:rPr>
          <w:rFonts w:hint="eastAsia" w:ascii="仿宋_GB2312" w:eastAsia="仿宋_GB2312"/>
          <w:sz w:val="32"/>
          <w:szCs w:val="32"/>
          <w:lang w:val="en-US" w:eastAsia="zh-CN"/>
        </w:rPr>
      </w:pPr>
    </w:p>
    <w:p>
      <w:pPr>
        <w:numPr>
          <w:ilvl w:val="0"/>
          <w:numId w:val="0"/>
        </w:numPr>
        <w:spacing w:line="560" w:lineRule="exact"/>
        <w:ind w:firstLine="1244" w:firstLineChars="400"/>
        <w:rPr>
          <w:rFonts w:hint="eastAsia" w:ascii="仿宋_GB2312" w:eastAsia="仿宋_GB2312"/>
          <w:sz w:val="32"/>
          <w:szCs w:val="32"/>
          <w:lang w:val="en-US" w:eastAsia="zh-CN"/>
        </w:rPr>
      </w:pPr>
    </w:p>
    <w:p>
      <w:pPr>
        <w:numPr>
          <w:ilvl w:val="0"/>
          <w:numId w:val="0"/>
        </w:numPr>
        <w:spacing w:line="560" w:lineRule="exact"/>
        <w:ind w:firstLine="1244" w:firstLineChars="400"/>
        <w:rPr>
          <w:rFonts w:hint="eastAsia" w:ascii="仿宋_GB2312" w:eastAsia="仿宋_GB2312"/>
          <w:sz w:val="32"/>
          <w:szCs w:val="32"/>
          <w:lang w:val="en-US" w:eastAsia="zh-CN"/>
        </w:rPr>
      </w:pPr>
    </w:p>
    <w:p>
      <w:pPr>
        <w:numPr>
          <w:ilvl w:val="0"/>
          <w:numId w:val="0"/>
        </w:numPr>
        <w:wordWrap w:val="0"/>
        <w:spacing w:line="560" w:lineRule="exact"/>
        <w:ind w:firstLine="1244" w:firstLineChars="400"/>
        <w:jc w:val="righ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中国人民银行兰州中心支行办公室</w:t>
      </w:r>
      <w:r>
        <w:rPr>
          <w:rFonts w:hint="eastAsia" w:ascii="仿宋_GB2312" w:hAnsi="仿宋_GB2312" w:eastAsia="仿宋_GB2312" w:cs="仿宋_GB2312"/>
          <w:color w:val="000000"/>
          <w:sz w:val="32"/>
          <w:szCs w:val="32"/>
          <w:lang w:val="en-US" w:eastAsia="zh-CN"/>
        </w:rPr>
        <w:t xml:space="preserve">  </w:t>
      </w:r>
    </w:p>
    <w:p>
      <w:pPr>
        <w:numPr>
          <w:ilvl w:val="0"/>
          <w:numId w:val="0"/>
        </w:numPr>
        <w:wordWrap w:val="0"/>
        <w:spacing w:line="560" w:lineRule="exact"/>
        <w:ind w:firstLine="1244" w:firstLineChars="400"/>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2020年11月30日        </w:t>
      </w:r>
    </w:p>
    <w:p>
      <w:pPr>
        <w:numPr>
          <w:ilvl w:val="0"/>
          <w:numId w:val="0"/>
        </w:numPr>
        <w:spacing w:line="560" w:lineRule="exact"/>
        <w:ind w:firstLine="1244" w:firstLineChars="400"/>
        <w:rPr>
          <w:rFonts w:hint="eastAsia" w:ascii="仿宋_GB2312" w:eastAsia="仿宋_GB2312"/>
          <w:sz w:val="32"/>
          <w:szCs w:val="32"/>
          <w:lang w:val="en-US" w:eastAsia="zh-CN"/>
        </w:rPr>
      </w:pPr>
    </w:p>
    <w:p>
      <w:pPr>
        <w:numPr>
          <w:ilvl w:val="0"/>
          <w:numId w:val="0"/>
        </w:numPr>
        <w:spacing w:line="560" w:lineRule="exact"/>
        <w:ind w:firstLine="1244" w:firstLineChars="400"/>
        <w:rPr>
          <w:rFonts w:hint="eastAsia" w:ascii="仿宋_GB2312" w:eastAsia="仿宋_GB2312"/>
          <w:sz w:val="32"/>
          <w:szCs w:val="32"/>
          <w:lang w:val="en-US" w:eastAsia="zh-CN"/>
        </w:rPr>
      </w:pPr>
    </w:p>
    <w:p>
      <w:pPr>
        <w:numPr>
          <w:ilvl w:val="0"/>
          <w:numId w:val="0"/>
        </w:numPr>
        <w:spacing w:line="560" w:lineRule="exact"/>
        <w:ind w:firstLine="1244" w:firstLineChars="400"/>
        <w:rPr>
          <w:rFonts w:hint="eastAsia" w:ascii="仿宋_GB2312" w:eastAsia="仿宋_GB2312"/>
          <w:sz w:val="32"/>
          <w:szCs w:val="32"/>
          <w:lang w:val="en-US" w:eastAsia="zh-CN"/>
        </w:rPr>
      </w:pPr>
    </w:p>
    <w:p>
      <w:pPr>
        <w:numPr>
          <w:ilvl w:val="0"/>
          <w:numId w:val="0"/>
        </w:numPr>
        <w:spacing w:line="560" w:lineRule="exact"/>
        <w:ind w:firstLine="1244" w:firstLineChars="400"/>
        <w:rPr>
          <w:rFonts w:hint="eastAsia" w:ascii="仿宋_GB2312" w:eastAsia="仿宋_GB2312"/>
          <w:sz w:val="32"/>
          <w:szCs w:val="32"/>
          <w:lang w:val="en-US" w:eastAsia="zh-CN"/>
        </w:rPr>
      </w:pPr>
    </w:p>
    <w:p>
      <w:pPr>
        <w:spacing w:line="560" w:lineRule="exact"/>
        <w:ind w:firstLine="622" w:firstLineChars="200"/>
        <w:rPr>
          <w:rFonts w:ascii="仿宋_GB2312" w:eastAsia="仿宋_GB2312"/>
          <w:sz w:val="32"/>
          <w:szCs w:val="32"/>
        </w:rPr>
      </w:pPr>
    </w:p>
    <w:p>
      <w:pPr>
        <w:spacing w:line="560" w:lineRule="exact"/>
        <w:ind w:firstLine="622" w:firstLineChars="200"/>
        <w:rPr>
          <w:rFonts w:ascii="仿宋_GB2312" w:eastAsia="仿宋_GB2312"/>
          <w:sz w:val="32"/>
          <w:szCs w:val="32"/>
        </w:rPr>
      </w:pPr>
    </w:p>
    <w:p>
      <w:pPr>
        <w:spacing w:line="560" w:lineRule="exact"/>
        <w:ind w:firstLine="622" w:firstLineChars="200"/>
        <w:rPr>
          <w:rFonts w:ascii="仿宋_GB2312" w:eastAsia="仿宋_GB2312"/>
          <w:sz w:val="32"/>
          <w:szCs w:val="32"/>
        </w:rPr>
      </w:pPr>
    </w:p>
    <w:p>
      <w:pPr>
        <w:spacing w:line="560" w:lineRule="exact"/>
        <w:ind w:firstLine="622" w:firstLineChars="200"/>
        <w:rPr>
          <w:rFonts w:ascii="仿宋_GB2312" w:eastAsia="仿宋_GB2312"/>
          <w:sz w:val="32"/>
          <w:szCs w:val="32"/>
        </w:rPr>
      </w:pPr>
    </w:p>
    <w:p>
      <w:pPr>
        <w:widowControl/>
        <w:jc w:val="left"/>
        <w:rPr>
          <w:rFonts w:ascii="Times New Roman" w:hAnsi="Times New Roman" w:eastAsia="宋体" w:cs="Times New Roman"/>
          <w:sz w:val="32"/>
          <w:szCs w:val="32"/>
        </w:rPr>
      </w:pPr>
      <w:r>
        <w:rPr>
          <w:rFonts w:ascii="仿宋_GB2312" w:eastAsia="仿宋_GB2312"/>
          <w:sz w:val="32"/>
          <w:szCs w:val="32"/>
        </w:rPr>
        <w:br w:type="page"/>
      </w:r>
      <w:r>
        <w:rPr>
          <w:rFonts w:hint="eastAsia" w:ascii="黑体" w:hAnsi="黑体" w:eastAsia="黑体" w:cs="黑体"/>
          <w:sz w:val="32"/>
          <w:szCs w:val="32"/>
        </w:rPr>
        <w:t>附件1</w:t>
      </w:r>
      <w:r>
        <w:rPr>
          <w:rFonts w:hint="eastAsia" w:ascii="Times New Roman" w:hAnsi="Times New Roman" w:eastAsia="宋体" w:cs="Times New Roman"/>
          <w:sz w:val="32"/>
          <w:szCs w:val="32"/>
        </w:rPr>
        <w:t xml:space="preserve">        </w:t>
      </w:r>
    </w:p>
    <w:p>
      <w:pPr>
        <w:spacing w:line="560" w:lineRule="exact"/>
        <w:ind w:firstLine="622" w:firstLineChars="200"/>
        <w:rPr>
          <w:rFonts w:ascii="Times New Roman" w:hAnsi="Times New Roman" w:eastAsia="宋体" w:cs="Times New Roman"/>
          <w:b/>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金融机构</w:t>
      </w:r>
      <w:r>
        <w:rPr>
          <w:rFonts w:hint="eastAsia" w:ascii="方正小标宋简体" w:hAnsi="方正小标宋简体" w:eastAsia="方正小标宋简体" w:cs="方正小标宋简体"/>
          <w:bCs/>
          <w:sz w:val="44"/>
          <w:szCs w:val="44"/>
          <w:lang w:val="en-US" w:eastAsia="zh-CN"/>
        </w:rPr>
        <w:t>决算说明书</w:t>
      </w:r>
      <w:r>
        <w:rPr>
          <w:rFonts w:hint="eastAsia" w:ascii="方正小标宋简体" w:hAnsi="方正小标宋简体" w:eastAsia="方正小标宋简体" w:cs="方正小标宋简体"/>
          <w:bCs/>
          <w:sz w:val="44"/>
          <w:szCs w:val="44"/>
        </w:rPr>
        <w:t>指引</w:t>
      </w:r>
    </w:p>
    <w:p>
      <w:pPr>
        <w:spacing w:line="560" w:lineRule="exact"/>
        <w:ind w:firstLine="622" w:firstLineChars="200"/>
        <w:rPr>
          <w:rFonts w:ascii="Times New Roman" w:hAnsi="黑体" w:eastAsia="Arial" w:cs="Times New Roman"/>
          <w:sz w:val="32"/>
          <w:szCs w:val="32"/>
        </w:rPr>
      </w:pPr>
    </w:p>
    <w:p>
      <w:pPr>
        <w:spacing w:line="560" w:lineRule="exact"/>
        <w:ind w:firstLine="622"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金融机构决算说明书</w:t>
      </w:r>
      <w:r>
        <w:rPr>
          <w:rFonts w:hint="eastAsia" w:ascii="仿宋_GB2312" w:hAnsi="仿宋_GB2312" w:eastAsia="仿宋_GB2312" w:cs="仿宋_GB2312"/>
          <w:sz w:val="32"/>
          <w:szCs w:val="32"/>
        </w:rPr>
        <w:t>由概述、报表分析、综合分析、附表组成。应对报告期内经营管理中的重点、热点问题进行专题分析，对重要会计政策和会计估计、重要报表项目等进行专题说明。</w:t>
      </w:r>
    </w:p>
    <w:p>
      <w:pPr>
        <w:spacing w:line="560" w:lineRule="exact"/>
        <w:ind w:firstLine="622" w:firstLineChars="200"/>
        <w:rPr>
          <w:rFonts w:hint="eastAsia" w:ascii="黑体" w:hAnsi="黑体" w:eastAsia="黑体" w:cs="黑体"/>
          <w:b w:val="0"/>
          <w:bCs/>
          <w:sz w:val="32"/>
          <w:szCs w:val="32"/>
        </w:rPr>
      </w:pPr>
      <w:r>
        <w:rPr>
          <w:rFonts w:hint="eastAsia" w:ascii="黑体" w:hAnsi="黑体" w:eastAsia="黑体" w:cs="黑体"/>
          <w:b w:val="0"/>
          <w:bCs/>
          <w:sz w:val="32"/>
          <w:szCs w:val="32"/>
        </w:rPr>
        <w:t>一、概述</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简要叙述机构、人员及业务范围。</w:t>
      </w:r>
    </w:p>
    <w:p>
      <w:pPr>
        <w:spacing w:line="560" w:lineRule="exact"/>
        <w:ind w:firstLine="622" w:firstLineChars="200"/>
        <w:rPr>
          <w:rFonts w:ascii="仿宋_GB2312" w:hAnsi="仿宋_GB2312" w:eastAsia="仿宋_GB2312" w:cs="仿宋_GB2312"/>
          <w:sz w:val="32"/>
          <w:szCs w:val="32"/>
        </w:rPr>
      </w:pPr>
      <w:r>
        <w:rPr>
          <w:rFonts w:hint="eastAsia" w:ascii="黑体" w:hAnsi="黑体" w:eastAsia="黑体" w:cs="黑体"/>
          <w:b w:val="0"/>
          <w:bCs/>
          <w:sz w:val="32"/>
          <w:szCs w:val="32"/>
        </w:rPr>
        <w:t>二、报表分析</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经营情况分析（营运资金、主营业务及损益分析、当年宏观调控</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对经营的影响）；</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财务状况及财务指标分析（总体财务状况、流动性、安全性、盈利性指标分析，并依据人民银行兰州中心支行文件报送有关指标数值）；</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资产质量分析（资产质量的分类及分析、坏账准备的计提原则及政策）；</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风险控制情况（风险指标分析、控制风险的主要措施）；</w:t>
      </w:r>
    </w:p>
    <w:p>
      <w:pPr>
        <w:spacing w:line="560" w:lineRule="exact"/>
        <w:ind w:firstLine="622" w:firstLineChars="200"/>
        <w:rPr>
          <w:rFonts w:hint="eastAsia" w:ascii="黑体" w:hAnsi="黑体" w:eastAsia="黑体" w:cs="黑体"/>
          <w:b w:val="0"/>
          <w:bCs/>
          <w:sz w:val="32"/>
          <w:szCs w:val="32"/>
        </w:rPr>
      </w:pPr>
      <w:r>
        <w:rPr>
          <w:rFonts w:hint="eastAsia" w:ascii="黑体" w:hAnsi="黑体" w:eastAsia="黑体" w:cs="黑体"/>
          <w:b w:val="0"/>
          <w:bCs/>
          <w:sz w:val="32"/>
          <w:szCs w:val="32"/>
        </w:rPr>
        <w:t>三、综合分析。</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金融机构独有事项分析（机构新设、分设、整合、撤并、上市、股权变动等）；</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新业务开展、会计改革、会计政策</w:t>
      </w:r>
      <w:r>
        <w:rPr>
          <w:rFonts w:hint="eastAsia" w:ascii="仿宋_GB2312" w:hAnsi="仿宋_GB2312" w:eastAsia="仿宋_GB2312" w:cs="仿宋_GB2312"/>
          <w:sz w:val="32"/>
          <w:szCs w:val="32"/>
          <w:lang w:val="en-US" w:eastAsia="zh-CN"/>
        </w:rPr>
        <w:t>变动</w:t>
      </w:r>
      <w:r>
        <w:rPr>
          <w:rFonts w:hint="eastAsia" w:ascii="仿宋_GB2312" w:hAnsi="仿宋_GB2312" w:eastAsia="仿宋_GB2312" w:cs="仿宋_GB2312"/>
          <w:sz w:val="32"/>
          <w:szCs w:val="32"/>
        </w:rPr>
        <w:t>及其他有关情况；</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对潜在的问题与风险提示、执行人民银行货币政策情况等进行有深度的分析。</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建议与展望。对今后持续健康发展</w:t>
      </w:r>
      <w:r>
        <w:rPr>
          <w:rFonts w:hint="eastAsia" w:ascii="仿宋_GB2312" w:hAnsi="仿宋_GB2312" w:eastAsia="仿宋_GB2312" w:cs="仿宋_GB2312"/>
          <w:sz w:val="32"/>
          <w:szCs w:val="32"/>
          <w:lang w:val="en-US" w:eastAsia="zh-CN"/>
        </w:rPr>
        <w:t>进行规划，提出可行性措施</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下一期间</w:t>
      </w:r>
      <w:r>
        <w:rPr>
          <w:rFonts w:hint="eastAsia" w:ascii="仿宋_GB2312" w:hAnsi="仿宋_GB2312" w:eastAsia="仿宋_GB2312" w:cs="仿宋_GB2312"/>
          <w:sz w:val="32"/>
          <w:szCs w:val="32"/>
          <w:lang w:val="en-US" w:eastAsia="zh-CN"/>
        </w:rPr>
        <w:t>会计业务运营情况进行预测</w:t>
      </w:r>
      <w:r>
        <w:rPr>
          <w:rFonts w:hint="eastAsia" w:ascii="仿宋_GB2312" w:hAnsi="仿宋_GB2312" w:eastAsia="仿宋_GB2312" w:cs="仿宋_GB2312"/>
          <w:sz w:val="32"/>
          <w:szCs w:val="32"/>
        </w:rPr>
        <w:t>。</w:t>
      </w:r>
    </w:p>
    <w:p>
      <w:pPr>
        <w:spacing w:line="560" w:lineRule="exact"/>
        <w:ind w:firstLine="622" w:firstLineChars="200"/>
        <w:rPr>
          <w:rFonts w:hint="eastAsia" w:ascii="黑体" w:hAnsi="黑体" w:eastAsia="黑体" w:cs="黑体"/>
          <w:b w:val="0"/>
          <w:bCs/>
          <w:sz w:val="32"/>
          <w:szCs w:val="32"/>
        </w:rPr>
      </w:pPr>
      <w:r>
        <w:rPr>
          <w:rFonts w:hint="eastAsia" w:ascii="黑体" w:hAnsi="黑体" w:eastAsia="黑体" w:cs="黑体"/>
          <w:b w:val="0"/>
          <w:bCs/>
          <w:sz w:val="32"/>
          <w:szCs w:val="32"/>
        </w:rPr>
        <w:t>四、附表</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列明主要分析指标及变化情况（附件2）。</w:t>
      </w:r>
    </w:p>
    <w:p>
      <w:pPr>
        <w:spacing w:line="560" w:lineRule="exact"/>
        <w:ind w:firstLine="582" w:firstLineChars="200"/>
        <w:rPr>
          <w:rFonts w:ascii="Times New Roman" w:hAnsi="仿宋_GB2312" w:eastAsia="Times New Roman" w:cs="Times New Roman"/>
          <w:sz w:val="30"/>
          <w:szCs w:val="20"/>
        </w:rPr>
      </w:pPr>
      <w:r>
        <w:rPr>
          <w:rFonts w:hint="eastAsia" w:ascii="Times New Roman" w:hAnsi="黑体" w:eastAsia="宋体" w:cs="Times New Roman"/>
          <w:sz w:val="30"/>
          <w:szCs w:val="20"/>
        </w:rPr>
        <w:t xml:space="preserve"> </w:t>
      </w:r>
    </w:p>
    <w:p>
      <w:pPr>
        <w:spacing w:line="560" w:lineRule="exact"/>
        <w:ind w:firstLine="582" w:firstLineChars="200"/>
        <w:rPr>
          <w:rFonts w:ascii="Times New Roman" w:hAnsi="Times New Roman" w:eastAsia="Times New Roman" w:cs="Times New Roman"/>
          <w:sz w:val="30"/>
          <w:szCs w:val="20"/>
        </w:rPr>
      </w:pPr>
      <w:r>
        <w:rPr>
          <w:rFonts w:hint="eastAsia" w:ascii="Times New Roman" w:hAnsi="Times New Roman" w:eastAsia="宋体" w:cs="Times New Roman"/>
          <w:sz w:val="30"/>
          <w:szCs w:val="20"/>
        </w:rPr>
        <w:t xml:space="preserve"> </w:t>
      </w:r>
    </w:p>
    <w:p>
      <w:pPr>
        <w:widowControl/>
        <w:jc w:val="left"/>
        <w:rPr>
          <w:rFonts w:ascii="Times New Roman" w:hAnsi="Times New Roman" w:eastAsia="Times New Roman" w:cs="Times New Roman"/>
          <w:sz w:val="30"/>
          <w:szCs w:val="20"/>
        </w:rPr>
      </w:pPr>
      <w:r>
        <w:rPr>
          <w:rFonts w:ascii="黑体" w:hAnsi="黑体" w:eastAsia="黑体" w:cs="黑体"/>
          <w:sz w:val="32"/>
          <w:szCs w:val="32"/>
        </w:rPr>
        <w:br w:type="page"/>
      </w:r>
      <w:r>
        <w:rPr>
          <w:rFonts w:hint="eastAsia" w:ascii="黑体" w:hAnsi="黑体" w:eastAsia="黑体" w:cs="黑体"/>
          <w:sz w:val="32"/>
          <w:szCs w:val="32"/>
        </w:rPr>
        <w:t>附件2</w:t>
      </w:r>
      <w:r>
        <w:rPr>
          <w:rFonts w:hint="eastAsia" w:ascii="Times New Roman" w:hAnsi="Times New Roman" w:eastAsia="宋体" w:cs="Times New Roman"/>
          <w:sz w:val="30"/>
          <w:szCs w:val="20"/>
        </w:rPr>
        <w:t xml:space="preserve"> </w:t>
      </w:r>
    </w:p>
    <w:p>
      <w:pPr>
        <w:snapToGrid w:val="0"/>
        <w:spacing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××年××（金融机构）</w:t>
      </w:r>
      <w:r>
        <w:rPr>
          <w:rFonts w:hint="eastAsia" w:ascii="方正小标宋简体" w:hAnsi="方正小标宋简体" w:eastAsia="方正小标宋简体" w:cs="方正小标宋简体"/>
          <w:b w:val="0"/>
          <w:bCs/>
          <w:sz w:val="44"/>
          <w:szCs w:val="44"/>
          <w:lang w:val="en-US" w:eastAsia="zh-CN"/>
        </w:rPr>
        <w:t>会计分析指标表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571"/>
        <w:gridCol w:w="1066"/>
        <w:gridCol w:w="858"/>
        <w:gridCol w:w="713"/>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b/>
                <w:szCs w:val="21"/>
              </w:rPr>
            </w:pPr>
            <w:r>
              <w:rPr>
                <w:rFonts w:hint="eastAsia" w:ascii="Times New Roman" w:hAnsi="仿宋_GB2312" w:eastAsia="宋体" w:cs="Times New Roman"/>
                <w:b/>
                <w:szCs w:val="21"/>
              </w:rPr>
              <w:t>指标类别</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b/>
                <w:szCs w:val="21"/>
              </w:rPr>
            </w:pPr>
            <w:r>
              <w:rPr>
                <w:rFonts w:hint="eastAsia" w:ascii="Times New Roman" w:hAnsi="仿宋_GB2312" w:eastAsia="宋体" w:cs="Times New Roman"/>
                <w:b/>
                <w:szCs w:val="21"/>
              </w:rPr>
              <w:t>指标名称</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cs="Times New Roman"/>
                <w:b/>
                <w:szCs w:val="21"/>
              </w:rPr>
            </w:pPr>
            <w:r>
              <w:rPr>
                <w:rFonts w:hint="eastAsia" w:ascii="Times New Roman" w:hAnsi="仿宋_GB2312" w:cs="Times New Roman"/>
                <w:b/>
                <w:szCs w:val="21"/>
              </w:rPr>
              <w:t>××年（亿元）</w:t>
            </w: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cs="Times New Roman"/>
                <w:b/>
                <w:szCs w:val="21"/>
              </w:rPr>
            </w:pPr>
            <w:r>
              <w:rPr>
                <w:rFonts w:hint="eastAsia" w:ascii="Times New Roman" w:hAnsi="仿宋_GB2312" w:cs="Times New Roman"/>
                <w:b/>
                <w:szCs w:val="21"/>
              </w:rPr>
              <w:t>同比增减额</w:t>
            </w: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cs="Times New Roman"/>
                <w:b/>
                <w:szCs w:val="21"/>
              </w:rPr>
            </w:pPr>
            <w:r>
              <w:rPr>
                <w:rFonts w:hint="eastAsia" w:ascii="Times New Roman" w:hAnsi="仿宋_GB2312" w:cs="Times New Roman"/>
                <w:b/>
                <w:szCs w:val="21"/>
              </w:rPr>
              <w:t>增长率</w:t>
            </w: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b/>
                <w:szCs w:val="21"/>
              </w:rPr>
            </w:pPr>
            <w:r>
              <w:rPr>
                <w:rFonts w:hint="eastAsia" w:ascii="Times New Roman" w:hAnsi="仿宋_GB2312" w:eastAsia="宋体" w:cs="Times New Roman"/>
                <w:b/>
                <w:szCs w:val="21"/>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r>
              <w:rPr>
                <w:rFonts w:hint="eastAsia" w:ascii="Times New Roman" w:hAnsi="仿宋_GB2312" w:eastAsia="宋体" w:cs="Times New Roman"/>
                <w:b/>
                <w:szCs w:val="21"/>
              </w:rPr>
              <w:t>总体财务状况</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资产总额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负债总额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利润总额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净利润</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中间业务收入</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存款总额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贷款总额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存款市场份额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贷款市场份额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营业收入市场份额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净利润市场份额</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r>
              <w:rPr>
                <w:rFonts w:hint="eastAsia" w:ascii="Times New Roman" w:hAnsi="仿宋_GB2312" w:eastAsia="宋体" w:cs="Times New Roman"/>
                <w:b/>
                <w:szCs w:val="21"/>
              </w:rPr>
              <w:t>流动性</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流动性比率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备付金率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存贷比</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szCs w:val="21"/>
              </w:rPr>
            </w:pPr>
            <w:r>
              <w:rPr>
                <w:rFonts w:hint="eastAsia" w:ascii="Times New Roman" w:hAnsi="仿宋_GB2312" w:eastAsia="宋体" w:cs="Times New Roman"/>
                <w:szCs w:val="21"/>
              </w:rPr>
              <w:t>流动性覆盖率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szCs w:val="21"/>
              </w:rPr>
            </w:pPr>
            <w:r>
              <w:rPr>
                <w:rFonts w:hint="eastAsia" w:ascii="Times New Roman" w:hAnsi="仿宋_GB2312" w:eastAsia="宋体" w:cs="Times New Roman"/>
                <w:szCs w:val="21"/>
              </w:rPr>
              <w:t>流动性缺口率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szCs w:val="21"/>
              </w:rPr>
            </w:pPr>
            <w:r>
              <w:rPr>
                <w:rFonts w:hint="eastAsia" w:ascii="Times New Roman" w:hAnsi="仿宋_GB2312" w:eastAsia="宋体" w:cs="Times New Roman"/>
                <w:szCs w:val="21"/>
              </w:rPr>
              <w:t>净稳定资金比例</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r>
              <w:rPr>
                <w:rFonts w:hint="eastAsia" w:ascii="Times New Roman" w:hAnsi="仿宋_GB2312" w:eastAsia="宋体" w:cs="Times New Roman"/>
                <w:kern w:val="0"/>
                <w:szCs w:val="21"/>
              </w:rPr>
              <w:t>资产规模在2000亿元（含）以上的法人机构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szCs w:val="21"/>
              </w:rPr>
            </w:pPr>
            <w:r>
              <w:rPr>
                <w:rFonts w:hint="eastAsia" w:ascii="Times New Roman" w:hAnsi="仿宋_GB2312" w:eastAsia="宋体" w:cs="Times New Roman"/>
                <w:szCs w:val="21"/>
              </w:rPr>
              <w:t>优质流动性资产充足率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r>
              <w:rPr>
                <w:rFonts w:hint="eastAsia" w:ascii="Times New Roman" w:hAnsi="仿宋_GB2312" w:eastAsia="宋体" w:cs="Times New Roman"/>
                <w:kern w:val="0"/>
                <w:szCs w:val="21"/>
              </w:rPr>
              <w:t>资产规模在2000亿元</w:t>
            </w:r>
          </w:p>
          <w:p>
            <w:pPr>
              <w:snapToGrid w:val="0"/>
              <w:spacing w:line="240" w:lineRule="exact"/>
              <w:jc w:val="center"/>
              <w:rPr>
                <w:rFonts w:ascii="Times New Roman" w:hAnsi="仿宋_GB2312" w:eastAsia="宋体" w:cs="Times New Roman"/>
                <w:kern w:val="0"/>
                <w:szCs w:val="21"/>
              </w:rPr>
            </w:pPr>
            <w:r>
              <w:rPr>
                <w:rFonts w:hint="eastAsia" w:ascii="Times New Roman" w:hAnsi="仿宋_GB2312" w:eastAsia="宋体" w:cs="Times New Roman"/>
                <w:kern w:val="0"/>
                <w:szCs w:val="21"/>
              </w:rPr>
              <w:t>以下的法人机构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szCs w:val="21"/>
              </w:rPr>
            </w:pPr>
            <w:r>
              <w:rPr>
                <w:rFonts w:hint="eastAsia" w:ascii="Times New Roman" w:hAnsi="仿宋_GB2312" w:eastAsia="宋体" w:cs="Times New Roman"/>
                <w:szCs w:val="21"/>
              </w:rPr>
              <w:t>流动性匹配率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拆入资金比率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拆出资金比率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r>
              <w:rPr>
                <w:rFonts w:hint="eastAsia" w:ascii="Times New Roman" w:hAnsi="仿宋_GB2312" w:eastAsia="宋体" w:cs="Times New Roman"/>
                <w:b/>
                <w:szCs w:val="21"/>
              </w:rPr>
              <w:t>安全性</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不良贷款率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不良资产率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贷款拨备率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拨备覆盖率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kern w:val="0"/>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资本充足率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一级资本充足率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核心一级资本充足率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r>
              <w:rPr>
                <w:rFonts w:hint="eastAsia" w:ascii="Times New Roman" w:hAnsi="仿宋_GB2312" w:eastAsia="宋体" w:cs="Times New Roman"/>
                <w:b/>
                <w:szCs w:val="21"/>
              </w:rPr>
              <w:t>盈利性</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总资产利润率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净资产利润率</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净利差</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净息差</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成本收入比</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szCs w:val="21"/>
              </w:rPr>
            </w:pPr>
            <w:r>
              <w:rPr>
                <w:rFonts w:hint="eastAsia" w:ascii="Times New Roman" w:hAnsi="仿宋_GB2312" w:eastAsia="宋体" w:cs="Times New Roman"/>
                <w:szCs w:val="21"/>
              </w:rPr>
              <w:t>中间业务收入比</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仿宋_GB2312" w:eastAsia="宋体" w:cs="Times New Roman"/>
                <w:kern w:val="0"/>
                <w:szCs w:val="21"/>
              </w:rPr>
            </w:pPr>
            <w:r>
              <w:rPr>
                <w:rFonts w:hint="eastAsia" w:ascii="Times New Roman" w:hAnsi="仿宋_GB2312" w:eastAsia="宋体" w:cs="Times New Roman"/>
                <w:kern w:val="0"/>
                <w:szCs w:val="21"/>
              </w:rPr>
              <w:t>法人机构、分支机构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b/>
                <w:szCs w:val="21"/>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szCs w:val="21"/>
              </w:rPr>
            </w:pPr>
            <w:r>
              <w:rPr>
                <w:rFonts w:hint="eastAsia" w:ascii="Times New Roman" w:hAnsi="仿宋_GB2312" w:eastAsia="宋体" w:cs="Times New Roman"/>
                <w:szCs w:val="21"/>
              </w:rPr>
              <w:t>人均净利润</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szCs w:val="21"/>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szCs w:val="21"/>
              </w:rPr>
            </w:pPr>
          </w:p>
        </w:tc>
        <w:tc>
          <w:tcPr>
            <w:tcW w:w="24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Times New Roman" w:hAnsi="仿宋_GB2312" w:eastAsia="Times New Roman" w:cs="Times New Roman"/>
                <w:szCs w:val="21"/>
              </w:rPr>
            </w:pPr>
            <w:r>
              <w:rPr>
                <w:rFonts w:hint="eastAsia" w:ascii="Times New Roman" w:hAnsi="仿宋_GB2312" w:eastAsia="宋体" w:cs="Times New Roman"/>
                <w:kern w:val="0"/>
                <w:szCs w:val="21"/>
              </w:rPr>
              <w:t>法人机构、分支机构</w:t>
            </w:r>
          </w:p>
        </w:tc>
      </w:tr>
    </w:tbl>
    <w:p>
      <w:pPr>
        <w:spacing w:line="360" w:lineRule="auto"/>
        <w:ind w:firstLine="402" w:firstLineChars="200"/>
        <w:rPr>
          <w:rFonts w:hint="eastAsia" w:ascii="仿宋_GB2312" w:eastAsia="仿宋_GB2312"/>
          <w:sz w:val="32"/>
          <w:szCs w:val="32"/>
        </w:rPr>
      </w:pPr>
      <w:r>
        <w:rPr>
          <w:rFonts w:hint="eastAsia" w:ascii="宋体" w:hAnsi="宋体"/>
          <w:szCs w:val="21"/>
        </w:rPr>
        <w:t>注：在报送、打印本表格时，可删除“适用范围”一列。</w:t>
      </w:r>
    </w:p>
    <w:p>
      <w:pPr>
        <w:ind w:firstLine="720"/>
        <w:rPr>
          <w:rFonts w:ascii="仿宋_GB2312" w:eastAsia="仿宋_GB2312"/>
          <w:color w:val="000000"/>
          <w:sz w:val="32"/>
        </w:rPr>
      </w:pPr>
    </w:p>
    <w:p>
      <w:pPr>
        <w:jc w:val="center"/>
        <w:rPr>
          <w:rFonts w:ascii="仿宋_GB2312" w:eastAsia="仿宋_GB2312"/>
          <w:color w:val="000000"/>
          <w:sz w:val="32"/>
        </w:rPr>
      </w:pPr>
    </w:p>
    <w:p>
      <w:pPr>
        <w:jc w:val="center"/>
        <w:rPr>
          <w:rFonts w:hint="eastAsia" w:ascii="仿宋_GB2312" w:eastAsia="仿宋_GB2312"/>
          <w:color w:val="000000"/>
          <w:sz w:val="32"/>
        </w:rPr>
      </w:pPr>
    </w:p>
    <w:p>
      <w:pPr>
        <w:wordWrap w:val="0"/>
        <w:jc w:val="right"/>
        <w:rPr>
          <w:rFonts w:hint="eastAsia" w:ascii="仿宋_GB2312" w:eastAsia="仿宋_GB2312"/>
          <w:color w:val="000000"/>
          <w:sz w:val="32"/>
        </w:rPr>
      </w:pPr>
      <w:r>
        <w:rPr>
          <w:rFonts w:hint="eastAsia" w:ascii="仿宋_GB2312" w:eastAsia="仿宋_GB2312"/>
          <w:color w:val="000000"/>
          <w:sz w:val="32"/>
        </w:rPr>
        <w:t>　　　　</w:t>
      </w:r>
    </w:p>
    <w:p>
      <w:pPr>
        <w:jc w:val="right"/>
        <w:outlineLvl w:val="0"/>
        <w:rPr>
          <w:rFonts w:hint="eastAsia" w:ascii="仿宋_GB2312" w:eastAsia="仿宋_GB2312"/>
          <w:color w:val="000000"/>
          <w:sz w:val="32"/>
        </w:rPr>
      </w:pPr>
    </w:p>
    <w:tbl>
      <w:tblPr>
        <w:tblStyle w:val="3"/>
        <w:tblpPr w:horzAnchor="margin" w:tblpXSpec="center" w:tblpYSpec="bottom"/>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731"/>
        <w:gridCol w:w="4126"/>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374" w:hRule="atLeast"/>
          <w:jc w:val="center"/>
        </w:trPr>
        <w:tc>
          <w:tcPr>
            <w:tcW w:w="8857" w:type="dxa"/>
            <w:gridSpan w:val="2"/>
            <w:tcBorders>
              <w:tl2br w:val="nil"/>
              <w:tr2bl w:val="nil"/>
            </w:tcBorders>
            <w:noWrap w:val="0"/>
            <w:vAlign w:val="center"/>
          </w:tcPr>
          <w:p>
            <w:pPr>
              <w:spacing w:before="120" w:beforeLines="0" w:after="120" w:afterLines="0"/>
              <w:rPr>
                <w:rFonts w:hint="eastAsia" w:ascii="仿宋_GB2312" w:eastAsia="仿宋_GB2312"/>
                <w:color w:val="000000"/>
                <w:sz w:val="28"/>
                <w:szCs w:val="28"/>
                <w:lang w:eastAsia="zh-CN"/>
              </w:rPr>
            </w:pPr>
            <w:r>
              <w:rPr>
                <w:rFonts w:hint="eastAsia" w:ascii="宋体"/>
                <w:color w:val="000000"/>
                <w:sz w:val="24"/>
              </w:rPr>
              <w:t xml:space="preserve">  </w:t>
            </w:r>
            <w:r>
              <w:rPr>
                <w:rFonts w:hint="eastAsia" w:ascii="仿宋_GB2312" w:eastAsia="仿宋_GB2312"/>
                <w:color w:val="000000"/>
                <w:sz w:val="28"/>
                <w:szCs w:val="28"/>
              </w:rPr>
              <w:t>内部发送：</w:t>
            </w:r>
            <w:r>
              <w:rPr>
                <w:rFonts w:hint="eastAsia" w:ascii="仿宋_GB2312" w:eastAsia="仿宋_GB2312"/>
                <w:color w:val="000000"/>
                <w:sz w:val="28"/>
                <w:szCs w:val="28"/>
                <w:lang w:eastAsia="zh-CN"/>
              </w:rPr>
              <w:t>工会主任，办公室、会计财务处、货币信贷管理处、金融稳</w:t>
            </w:r>
          </w:p>
          <w:p>
            <w:pPr>
              <w:spacing w:before="120" w:beforeLines="0" w:after="120" w:afterLines="0"/>
              <w:rPr>
                <w:rFonts w:hint="eastAsia" w:ascii="仿宋_GB2312" w:eastAsia="仿宋_GB2312"/>
                <w:color w:val="000000"/>
                <w:sz w:val="28"/>
                <w:szCs w:val="28"/>
              </w:rPr>
            </w:pP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lang w:eastAsia="zh-CN"/>
              </w:rPr>
              <w:t>定处，存档。</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609" w:hRule="atLeast"/>
          <w:jc w:val="center"/>
        </w:trPr>
        <w:tc>
          <w:tcPr>
            <w:tcW w:w="4731" w:type="dxa"/>
            <w:tcBorders>
              <w:tl2br w:val="nil"/>
              <w:tr2bl w:val="nil"/>
            </w:tcBorders>
            <w:noWrap w:val="0"/>
            <w:vAlign w:val="center"/>
          </w:tcPr>
          <w:p>
            <w:pPr>
              <w:spacing w:before="120" w:beforeLines="0" w:after="120" w:afterLines="0"/>
              <w:ind w:firstLine="266" w:firstLineChars="98"/>
              <w:rPr>
                <w:rFonts w:hint="eastAsia" w:ascii="仿宋_GB2312" w:eastAsia="仿宋_GB2312"/>
                <w:color w:val="000000"/>
                <w:sz w:val="28"/>
                <w:szCs w:val="28"/>
              </w:rPr>
            </w:pPr>
            <w:r>
              <w:rPr>
                <w:rFonts w:hint="eastAsia" w:ascii="仿宋_GB2312" w:eastAsia="仿宋_GB2312"/>
                <w:color w:val="000000"/>
                <w:sz w:val="28"/>
                <w:szCs w:val="28"/>
              </w:rPr>
              <w:t>中国人民银行兰州中心支行办公室</w:t>
            </w:r>
          </w:p>
        </w:tc>
        <w:tc>
          <w:tcPr>
            <w:tcW w:w="4126" w:type="dxa"/>
            <w:tcBorders>
              <w:tl2br w:val="nil"/>
              <w:tr2bl w:val="nil"/>
            </w:tcBorders>
            <w:noWrap w:val="0"/>
            <w:vAlign w:val="center"/>
          </w:tcPr>
          <w:p>
            <w:pPr>
              <w:spacing w:before="120" w:beforeLines="0" w:after="120" w:afterLines="0"/>
              <w:jc w:val="right"/>
              <w:rPr>
                <w:rFonts w:hint="eastAsia" w:ascii="仿宋_GB2312" w:eastAsia="仿宋_GB2312"/>
                <w:color w:val="000000"/>
                <w:sz w:val="28"/>
                <w:szCs w:val="28"/>
              </w:rPr>
            </w:pPr>
            <w:r>
              <w:rPr>
                <w:rFonts w:hint="eastAsia" w:ascii="仿宋_GB2312" w:eastAsia="仿宋_GB2312"/>
                <w:color w:val="000000"/>
                <w:sz w:val="28"/>
                <w:szCs w:val="28"/>
                <w:lang w:val="en-US" w:eastAsia="zh-CN"/>
              </w:rPr>
              <w:t>2020年12月1日</w:t>
            </w:r>
            <w:r>
              <w:rPr>
                <w:rFonts w:hint="eastAsia" w:ascii="仿宋_GB2312" w:eastAsia="仿宋_GB2312"/>
                <w:color w:val="000000"/>
                <w:sz w:val="28"/>
                <w:szCs w:val="28"/>
              </w:rPr>
              <w:t>印发</w:t>
            </w:r>
          </w:p>
        </w:tc>
      </w:tr>
    </w:tbl>
    <w:p>
      <w:pPr>
        <w:ind w:right="620"/>
        <w:rPr>
          <w:rFonts w:hint="eastAsia" w:ascii="仿宋_GB2312" w:eastAsia="仿宋_GB2312"/>
          <w:color w:val="000000"/>
          <w:sz w:val="32"/>
        </w:rPr>
      </w:pPr>
    </w:p>
    <w:p/>
    <w:sectPr>
      <w:footerReference r:id="rId3" w:type="default"/>
      <w:footerReference r:id="rId4" w:type="even"/>
      <w:pgSz w:w="11906" w:h="16838"/>
      <w:pgMar w:top="2098" w:right="1474" w:bottom="1985" w:left="1588" w:header="851" w:footer="1588" w:gutter="0"/>
      <w:pgBorders>
        <w:top w:val="none" w:sz="0" w:space="0"/>
        <w:left w:val="none" w:sz="0" w:space="0"/>
        <w:bottom w:val="none" w:sz="0" w:space="0"/>
        <w:right w:val="none" w:sz="0" w:space="0"/>
      </w:pgBorders>
      <w:cols w:space="72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firstLine="360"/>
      <w:jc w:val="right"/>
      <w:rPr>
        <w:rFonts w:hint="eastAsia" w:ascii="宋体" w:hAnsi="宋体"/>
        <w:sz w:val="28"/>
      </w:rPr>
    </w:pPr>
    <w:r>
      <w:rPr>
        <w:rStyle w:val="5"/>
        <w:rFonts w:ascii="宋体" w:hAnsi="宋体"/>
        <w:sz w:val="28"/>
      </w:rPr>
      <w:t>-</w:t>
    </w:r>
    <w:r>
      <w:rPr>
        <w:rStyle w:val="5"/>
        <w:rFonts w:hint="eastAsia" w:ascii="宋体" w:hAnsi="宋体"/>
        <w:sz w:val="28"/>
        <w:lang w:val="en-US" w:eastAsia="zh-CN"/>
      </w:rPr>
      <w:t xml:space="preserve"> </w:t>
    </w:r>
    <w:r>
      <w:rPr>
        <w:rFonts w:ascii="宋体" w:hAnsi="宋体"/>
        <w:sz w:val="28"/>
      </w:rPr>
      <w:fldChar w:fldCharType="begin"/>
    </w:r>
    <w:r>
      <w:rPr>
        <w:rStyle w:val="5"/>
        <w:rFonts w:ascii="宋体" w:hAnsi="宋体"/>
        <w:sz w:val="28"/>
      </w:rPr>
      <w:instrText xml:space="preserve"> PAGE </w:instrText>
    </w:r>
    <w:r>
      <w:rPr>
        <w:rFonts w:ascii="宋体" w:hAnsi="宋体"/>
        <w:sz w:val="28"/>
      </w:rPr>
      <w:fldChar w:fldCharType="separate"/>
    </w:r>
    <w:r>
      <w:rPr>
        <w:rStyle w:val="5"/>
        <w:rFonts w:ascii="宋体" w:hAnsi="宋体"/>
        <w:sz w:val="28"/>
      </w:rPr>
      <w:t>1</w:t>
    </w:r>
    <w:r>
      <w:rPr>
        <w:rFonts w:ascii="宋体" w:hAnsi="宋体"/>
        <w:sz w:val="28"/>
      </w:rPr>
      <w:fldChar w:fldCharType="end"/>
    </w:r>
    <w:r>
      <w:rPr>
        <w:rFonts w:hint="eastAsia" w:ascii="宋体" w:hAnsi="宋体"/>
        <w:sz w:val="28"/>
        <w:lang w:val="en-US" w:eastAsia="zh-CN"/>
      </w:rPr>
      <w:t xml:space="preserve"> </w:t>
    </w:r>
    <w:r>
      <w:rPr>
        <w:rStyle w:val="5"/>
        <w:rFonts w:ascii="宋体" w:hAnsi="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rPr>
        <w:rFonts w:hint="eastAsia"/>
        <w:sz w:val="28"/>
      </w:rPr>
    </w:pPr>
    <w:r>
      <w:rPr>
        <w:rStyle w:val="5"/>
        <w:rFonts w:ascii="宋体" w:hAnsi="宋体"/>
        <w:sz w:val="28"/>
      </w:rPr>
      <w:t>-</w:t>
    </w:r>
    <w:r>
      <w:rPr>
        <w:rStyle w:val="5"/>
        <w:rFonts w:hint="eastAsia" w:ascii="宋体" w:hAnsi="宋体"/>
        <w:sz w:val="28"/>
        <w:lang w:val="en-US" w:eastAsia="zh-CN"/>
      </w:rPr>
      <w:t xml:space="preserve"> </w:t>
    </w:r>
    <w:r>
      <w:rPr>
        <w:rFonts w:ascii="宋体" w:hAnsi="宋体"/>
        <w:sz w:val="28"/>
      </w:rPr>
      <w:fldChar w:fldCharType="begin"/>
    </w:r>
    <w:r>
      <w:rPr>
        <w:rStyle w:val="5"/>
        <w:rFonts w:ascii="宋体" w:hAnsi="宋体"/>
        <w:sz w:val="28"/>
      </w:rPr>
      <w:instrText xml:space="preserve"> PAGE </w:instrText>
    </w:r>
    <w:r>
      <w:rPr>
        <w:rFonts w:ascii="宋体" w:hAnsi="宋体"/>
        <w:sz w:val="28"/>
      </w:rPr>
      <w:fldChar w:fldCharType="separate"/>
    </w:r>
    <w:r>
      <w:rPr>
        <w:rStyle w:val="5"/>
        <w:rFonts w:ascii="宋体" w:hAnsi="宋体"/>
        <w:sz w:val="28"/>
      </w:rPr>
      <w:t>2</w:t>
    </w:r>
    <w:r>
      <w:rPr>
        <w:rFonts w:ascii="宋体" w:hAnsi="宋体"/>
        <w:sz w:val="28"/>
      </w:rPr>
      <w:fldChar w:fldCharType="end"/>
    </w:r>
    <w:r>
      <w:rPr>
        <w:rFonts w:hint="eastAsia" w:ascii="宋体" w:hAnsi="宋体"/>
        <w:sz w:val="28"/>
        <w:lang w:val="en-US" w:eastAsia="zh-CN"/>
      </w:rPr>
      <w:t xml:space="preserve"> </w:t>
    </w:r>
    <w:r>
      <w:rPr>
        <w:rStyle w:val="5"/>
        <w:rFonts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E2BE7"/>
    <w:rsid w:val="32BE2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2022-03-09T03:22:00Z</dcterms:created>
  <dc:creator>dxzp</dc:creator>
  <cp:lastModifiedBy>dxzp</cp:lastModifiedBy>
  <dcterms:modified xsi:type="dcterms:W3CDTF">2022-03-09T03:22:33Z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B5B8CD1966A0451CA93BA01D9BF59C8A</vt:lpwstr>
  </property>
</Properties>
</file>