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中国人民银行甘肃省分行</w:t>
      </w:r>
      <w:r>
        <w:rPr>
          <w:rFonts w:hint="eastAsia" w:ascii="黑体" w:hAnsi="Times New Roman" w:eastAsia="黑体" w:cs="Times New Roman"/>
          <w:sz w:val="32"/>
          <w:szCs w:val="32"/>
        </w:rPr>
        <w:t>行政处罚信息公示表</w:t>
      </w:r>
    </w:p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tbl>
      <w:tblPr>
        <w:tblStyle w:val="2"/>
        <w:tblW w:w="143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975"/>
        <w:gridCol w:w="1777"/>
        <w:gridCol w:w="2923"/>
        <w:gridCol w:w="2000"/>
        <w:gridCol w:w="1725"/>
        <w:gridCol w:w="166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当事人名称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（姓名）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决定书文号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违法行为类型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行政处罚内容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作出行政处罚决定机关名称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作出行政处罚决定日期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福建国通星驿网络科技有限公司甘肃分公司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甘银罚决字〔2023〕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1号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92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未落实特约商户实名制管理要求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2.特约商户本地化经营和管理不到位。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警告，并处罚款56万元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2023年12月29日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开店宝支付服务有限公司甘肃分公司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甘银罚决字〔2023〕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2号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2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1.未落实特约商户实名制管理要求；2.特约商户收单银行结算账户管理不规范。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警告，并处罚款47万元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2023年12月29日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  <w:t>乐刷科技有限公司兰州分公司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甘银罚决字〔2023〕3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92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1.未落实特约商户实名制管理要求；2.特约商户收单银行结算账户管理不规范。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警告，并处罚款27万元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2023年12月29日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杉德支付网络服务发展有限公司甘肃分公司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甘银罚决字〔2023〕4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92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1.未落实特约商户实名制管理要求；2.特约商户收单银行结算账户管理不规范。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警告，并处罚款3万元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2023年12月29日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现代金融控股（成都）有限公司甘肃分公司</w:t>
            </w:r>
          </w:p>
        </w:tc>
        <w:tc>
          <w:tcPr>
            <w:tcW w:w="1777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甘银罚决字〔2023〕5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92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未落实特约商户实名制管理要求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罚款1万元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2023年12月29日</w:t>
            </w:r>
            <w:bookmarkStart w:id="0" w:name="_GoBack"/>
            <w:bookmarkEnd w:id="0"/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B4CB1"/>
    <w:rsid w:val="1A0F3C5D"/>
    <w:rsid w:val="35EB4CB1"/>
    <w:rsid w:val="592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lzrh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2023-12-27T02:18:00Z</dcterms:created>
  <dc:creator> </dc:creator>
  <cp:lastModifiedBy> </cp:lastModifiedBy>
  <cp:lastPrinted>2023-12-29T02:13:52Z</cp:lastPrinted>
  <dcterms:modified xsi:type="dcterms:W3CDTF">2023-12-29T03:22:33Z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505DF84907A1431392E9F6490603A2FF</vt:lpwstr>
  </property>
</Properties>
</file>