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67E42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仿宋_GB2312" w:hAnsi="仿宋_GB2312" w:eastAsia="方正小标宋简体" w:cs="仿宋_GB2312"/>
          <w:sz w:val="32"/>
          <w:szCs w:val="32"/>
          <w:lang w:val="en-US" w:eastAsia="zh-CN"/>
        </w:rPr>
      </w:pPr>
      <w:r>
        <w:rPr>
          <w:rFonts w:hint="eastAsia" w:ascii="方正小标宋简体" w:hAnsi="方正小标宋简体" w:eastAsia="方正小标宋简体" w:cs="方正小标宋简体"/>
          <w:sz w:val="44"/>
          <w:szCs w:val="44"/>
          <w:lang w:bidi="ar-SA"/>
        </w:rPr>
        <w:t>中国人民银行</w:t>
      </w:r>
      <w:r>
        <w:rPr>
          <w:rFonts w:hint="eastAsia" w:ascii="方正小标宋简体" w:hAnsi="方正小标宋简体" w:eastAsia="方正小标宋简体" w:cs="方正小标宋简体"/>
          <w:sz w:val="44"/>
          <w:szCs w:val="44"/>
          <w:lang w:eastAsia="zh-CN" w:bidi="ar-SA"/>
        </w:rPr>
        <w:t>定西</w:t>
      </w:r>
      <w:r>
        <w:rPr>
          <w:rFonts w:hint="eastAsia" w:ascii="方正小标宋简体" w:hAnsi="方正小标宋简体" w:eastAsia="方正小标宋简体" w:cs="方正小标宋简体"/>
          <w:sz w:val="44"/>
          <w:szCs w:val="44"/>
          <w:lang w:bidi="ar-SA"/>
        </w:rPr>
        <w:t>市分行黄金制品进出口</w:t>
      </w:r>
      <w:r>
        <w:rPr>
          <w:rFonts w:hint="eastAsia" w:ascii="方正小标宋简体" w:hAnsi="方正小标宋简体" w:eastAsia="方正小标宋简体" w:cs="方正小标宋简体"/>
          <w:sz w:val="44"/>
          <w:szCs w:val="44"/>
          <w:lang w:eastAsia="zh-CN" w:bidi="ar-SA"/>
        </w:rPr>
        <w:t>审批</w:t>
      </w:r>
      <w:r>
        <w:rPr>
          <w:rFonts w:hint="eastAsia" w:ascii="方正小标宋简体" w:hAnsi="方正小标宋简体" w:eastAsia="方正小标宋简体" w:cs="方正小标宋简体"/>
          <w:sz w:val="44"/>
          <w:szCs w:val="44"/>
          <w:lang w:bidi="ar-SA"/>
        </w:rPr>
        <w:t>事项</w:t>
      </w:r>
      <w:bookmarkStart w:id="0" w:name="_GoBack"/>
      <w:bookmarkEnd w:id="0"/>
      <w:r>
        <w:rPr>
          <w:rFonts w:hint="eastAsia" w:ascii="方正小标宋简体" w:hAnsi="方正小标宋简体" w:eastAsia="方正小标宋简体" w:cs="方正小标宋简体"/>
          <w:sz w:val="44"/>
          <w:szCs w:val="44"/>
          <w:lang w:bidi="ar-SA"/>
        </w:rPr>
        <w:t>服务指南</w:t>
      </w:r>
    </w:p>
    <w:p w14:paraId="128266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eastAsia" w:ascii="黑体" w:hAnsi="黑体" w:eastAsia="黑体" w:cs="黑体"/>
          <w:b w:val="0"/>
          <w:bCs/>
          <w:kern w:val="0"/>
          <w:sz w:val="32"/>
          <w:szCs w:val="32"/>
          <w:lang w:val="en-US" w:eastAsia="zh-CN" w:bidi="ar"/>
        </w:rPr>
      </w:pPr>
    </w:p>
    <w:p w14:paraId="519AE2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Style w:val="7"/>
          <w:rFonts w:hint="eastAsia" w:ascii="黑体" w:hAnsi="黑体" w:eastAsia="黑体" w:cs="黑体"/>
          <w:b w:val="0"/>
          <w:bCs/>
          <w:kern w:val="0"/>
          <w:sz w:val="32"/>
          <w:szCs w:val="32"/>
          <w:lang w:val="en-US" w:eastAsia="zh-CN" w:bidi="ar"/>
        </w:rPr>
        <w:t>一、适用范围</w:t>
      </w:r>
    </w:p>
    <w:p w14:paraId="30BD3F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适用于“黄金制品进出口”的申请和办理。</w:t>
      </w:r>
    </w:p>
    <w:p w14:paraId="4CD4CB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Style w:val="7"/>
          <w:rFonts w:hint="eastAsia" w:ascii="黑体" w:hAnsi="黑体" w:eastAsia="黑体" w:cs="黑体"/>
          <w:b w:val="0"/>
          <w:bCs/>
          <w:kern w:val="0"/>
          <w:sz w:val="32"/>
          <w:szCs w:val="32"/>
          <w:lang w:val="en-US" w:eastAsia="zh-CN" w:bidi="ar"/>
        </w:rPr>
        <w:t>二、事项审查类型</w:t>
      </w:r>
    </w:p>
    <w:p w14:paraId="45DB81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前审后批</w:t>
      </w:r>
    </w:p>
    <w:p w14:paraId="51E747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eastAsia" w:ascii="黑体" w:hAnsi="黑体" w:eastAsia="黑体" w:cs="黑体"/>
          <w:b w:val="0"/>
          <w:bCs/>
          <w:kern w:val="0"/>
          <w:sz w:val="32"/>
          <w:szCs w:val="32"/>
          <w:lang w:val="en-US" w:eastAsia="zh-CN" w:bidi="ar"/>
        </w:rPr>
      </w:pPr>
      <w:r>
        <w:rPr>
          <w:rStyle w:val="7"/>
          <w:rFonts w:hint="eastAsia" w:ascii="黑体" w:hAnsi="黑体" w:eastAsia="黑体" w:cs="黑体"/>
          <w:b w:val="0"/>
          <w:bCs/>
          <w:kern w:val="0"/>
          <w:sz w:val="32"/>
          <w:szCs w:val="32"/>
          <w:lang w:val="en-US" w:eastAsia="zh-CN" w:bidi="ar"/>
        </w:rPr>
        <w:t>三、政策依据</w:t>
      </w:r>
    </w:p>
    <w:p w14:paraId="209BB9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（一）《黄金及黄金制品进出口管理办法》（中国人民银行、海关总署令〔2015〕第1号）；</w:t>
      </w:r>
    </w:p>
    <w:p w14:paraId="754132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（二）《中国人民银行行政许可实施办法》(中国人民银行令〔2020〕第1号)。</w:t>
      </w:r>
    </w:p>
    <w:p w14:paraId="0D2642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eastAsia" w:ascii="黑体" w:hAnsi="黑体" w:eastAsia="黑体" w:cs="黑体"/>
          <w:b w:val="0"/>
          <w:bCs/>
          <w:kern w:val="0"/>
          <w:sz w:val="32"/>
          <w:szCs w:val="32"/>
          <w:lang w:val="en-US" w:eastAsia="zh-CN" w:bidi="ar"/>
        </w:rPr>
      </w:pPr>
      <w:r>
        <w:rPr>
          <w:rStyle w:val="7"/>
          <w:rFonts w:hint="eastAsia" w:ascii="黑体" w:hAnsi="黑体" w:eastAsia="黑体" w:cs="黑体"/>
          <w:b w:val="0"/>
          <w:bCs/>
          <w:kern w:val="0"/>
          <w:sz w:val="32"/>
          <w:szCs w:val="32"/>
          <w:lang w:val="en-US" w:eastAsia="zh-CN" w:bidi="ar"/>
        </w:rPr>
        <w:t>四、受理机构</w:t>
      </w:r>
    </w:p>
    <w:p w14:paraId="364DB1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定西市</w:t>
      </w:r>
      <w:r>
        <w:rPr>
          <w:rFonts w:hint="eastAsia" w:ascii="仿宋_GB2312" w:hAnsi="仿宋_GB2312" w:eastAsia="仿宋_GB2312" w:cs="仿宋_GB2312"/>
          <w:sz w:val="32"/>
          <w:szCs w:val="32"/>
        </w:rPr>
        <w:t>分行货币金银科</w:t>
      </w:r>
    </w:p>
    <w:p w14:paraId="3768AD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Style w:val="7"/>
          <w:rFonts w:hint="eastAsia" w:ascii="黑体" w:hAnsi="黑体" w:eastAsia="黑体" w:cs="黑体"/>
          <w:b w:val="0"/>
          <w:bCs/>
          <w:kern w:val="0"/>
          <w:sz w:val="32"/>
          <w:szCs w:val="32"/>
          <w:lang w:val="en-US" w:eastAsia="zh-CN" w:bidi="ar"/>
        </w:rPr>
        <w:t>五、审核机构</w:t>
      </w:r>
    </w:p>
    <w:p w14:paraId="47CBEF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甘肃省</w:t>
      </w:r>
      <w:r>
        <w:rPr>
          <w:rFonts w:hint="eastAsia" w:ascii="仿宋_GB2312" w:hAnsi="仿宋_GB2312" w:eastAsia="仿宋_GB2312" w:cs="仿宋_GB2312"/>
          <w:sz w:val="32"/>
          <w:szCs w:val="32"/>
        </w:rPr>
        <w:t>分行货币金银处</w:t>
      </w:r>
    </w:p>
    <w:p w14:paraId="32B53F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eastAsia" w:ascii="黑体" w:hAnsi="黑体" w:eastAsia="黑体" w:cs="黑体"/>
          <w:b w:val="0"/>
          <w:bCs/>
          <w:kern w:val="0"/>
          <w:sz w:val="32"/>
          <w:szCs w:val="32"/>
          <w:lang w:val="en-US" w:eastAsia="zh-CN" w:bidi="ar"/>
        </w:rPr>
      </w:pPr>
      <w:r>
        <w:rPr>
          <w:rStyle w:val="7"/>
          <w:rFonts w:hint="eastAsia" w:ascii="黑体" w:hAnsi="黑体" w:eastAsia="黑体" w:cs="黑体"/>
          <w:b w:val="0"/>
          <w:bCs/>
          <w:kern w:val="0"/>
          <w:sz w:val="32"/>
          <w:szCs w:val="32"/>
          <w:lang w:val="en-US" w:eastAsia="zh-CN" w:bidi="ar"/>
        </w:rPr>
        <w:t>六、决定机构</w:t>
      </w:r>
    </w:p>
    <w:p w14:paraId="2417CC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甘肃省</w:t>
      </w:r>
      <w:r>
        <w:rPr>
          <w:rFonts w:hint="eastAsia" w:ascii="仿宋_GB2312" w:hAnsi="仿宋_GB2312" w:eastAsia="仿宋_GB2312" w:cs="仿宋_GB2312"/>
          <w:sz w:val="32"/>
          <w:szCs w:val="32"/>
        </w:rPr>
        <w:t>分行</w:t>
      </w:r>
    </w:p>
    <w:p w14:paraId="7E199F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eastAsia" w:ascii="黑体" w:hAnsi="黑体" w:eastAsia="黑体" w:cs="黑体"/>
          <w:b w:val="0"/>
          <w:bCs/>
          <w:kern w:val="0"/>
          <w:sz w:val="32"/>
          <w:szCs w:val="32"/>
          <w:lang w:val="en-US" w:eastAsia="zh-CN" w:bidi="ar"/>
        </w:rPr>
      </w:pPr>
      <w:r>
        <w:rPr>
          <w:rStyle w:val="7"/>
          <w:rFonts w:hint="eastAsia" w:ascii="黑体" w:hAnsi="黑体" w:eastAsia="黑体" w:cs="黑体"/>
          <w:b w:val="0"/>
          <w:bCs/>
          <w:kern w:val="0"/>
          <w:sz w:val="32"/>
          <w:szCs w:val="32"/>
          <w:lang w:val="en-US" w:eastAsia="zh-CN" w:bidi="ar"/>
        </w:rPr>
        <w:t>七、受理条件</w:t>
      </w:r>
    </w:p>
    <w:p w14:paraId="17F0E4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申请黄金制品进出口（除因公益事业捐赠进口黄金制品外）的，应当具备法人或其他组织资格，近2年内无相关违规违法行为，并且具备下列条件之一：</w:t>
      </w:r>
    </w:p>
    <w:p w14:paraId="7B2907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（一）生产、加工或者使用相关黄金制品的企业，有必要的生产场所、设备和设施，生产过程中的污染物排放达到国家环保标准，有连续3年且年均不少于100万元人民币的纳税记录；</w:t>
      </w:r>
    </w:p>
    <w:p w14:paraId="2AFDB5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（二）适用海关认证企业管理的外贸经营企业，有连续3年且年均不少于300万元人民币的纳税记录；</w:t>
      </w:r>
    </w:p>
    <w:p w14:paraId="56B721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（三）因国家科研项目、重点课题需要使用黄金制品的教育机构、科学研究机构等。</w:t>
      </w:r>
    </w:p>
    <w:p w14:paraId="6F25BB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eastAsia" w:ascii="黑体" w:hAnsi="黑体" w:eastAsia="黑体" w:cs="黑体"/>
          <w:b w:val="0"/>
          <w:bCs/>
          <w:kern w:val="0"/>
          <w:sz w:val="32"/>
          <w:szCs w:val="32"/>
          <w:lang w:val="en-US" w:eastAsia="zh-CN" w:bidi="ar"/>
        </w:rPr>
      </w:pPr>
      <w:r>
        <w:rPr>
          <w:rStyle w:val="7"/>
          <w:rFonts w:hint="eastAsia" w:ascii="黑体" w:hAnsi="黑体" w:eastAsia="黑体" w:cs="黑体"/>
          <w:b w:val="0"/>
          <w:bCs/>
          <w:kern w:val="0"/>
          <w:sz w:val="32"/>
          <w:szCs w:val="32"/>
          <w:lang w:val="en-US" w:eastAsia="zh-CN" w:bidi="ar"/>
        </w:rPr>
        <w:t>八、受理应提交的材料</w:t>
      </w:r>
    </w:p>
    <w:p w14:paraId="17DC1B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eastAsia" w:ascii="黑体" w:hAnsi="黑体" w:eastAsia="黑体" w:cs="黑体"/>
          <w:b w:val="0"/>
          <w:bCs/>
          <w:kern w:val="0"/>
          <w:sz w:val="32"/>
          <w:szCs w:val="32"/>
          <w:lang w:val="en-US" w:eastAsia="zh-CN" w:bidi="ar"/>
        </w:rPr>
      </w:pPr>
      <w:r>
        <w:rPr>
          <w:rFonts w:hint="eastAsia" w:ascii="仿宋_GB2312" w:hAnsi="仿宋_GB2312" w:eastAsia="仿宋_GB2312" w:cs="仿宋_GB2312"/>
          <w:sz w:val="32"/>
          <w:szCs w:val="32"/>
          <w:lang w:val="en-US" w:eastAsia="zh-CN"/>
        </w:rPr>
        <w:t>《中国人民银行黄金及黄金制品进出口准许证》实行一批一证，自签发日起40个工作日内使用。被许可人有正当理由需要延期的，可以在凭证有效期届满５个工作日前持原证向发证机构申请办理一次延期手续。</w:t>
      </w:r>
    </w:p>
    <w:p w14:paraId="5084FA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（一）初次申请《一批一证》黄金制品进出口的，应当提交下列资料：</w:t>
      </w:r>
    </w:p>
    <w:p w14:paraId="042703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1.书面申请（原件1份），应当载明申请人名称、住所（办公场所）、企业概况、进出口黄金制品的用途和计划数量等业务情况说明；</w:t>
      </w:r>
    </w:p>
    <w:p w14:paraId="2CDBB8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2.《黄金及黄金制品进出口申请表》（原件1份），申请表应按中国人民银行规定要求填写；</w:t>
      </w:r>
    </w:p>
    <w:p w14:paraId="286CC7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统一社会信用代码或法人营业执照、事业单位法人证书、组织机构代码证等法定登记证书，以及法定代表人身份证明文件、授权委托书、被委托人身份证件等身份证明文件。申请人可以委托代理人提出行政许可申请。申请人委托代理人提出行政许可申请的，还应当提供申请人、代理人的身份证明文件（复印件1份）和授权委托书（原件1份），需提供原件核对；</w:t>
      </w:r>
    </w:p>
    <w:p w14:paraId="4A968A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4.黄金制品进出口合同（复印件1份），该合同需填写进出口黄金制品货值、时间、数量等，需提供原件核对；</w:t>
      </w:r>
    </w:p>
    <w:p w14:paraId="7E4A39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5.加盖备案登记章的《对外贸易经营者备案表》或《外商投资企业批准证书》（复印件1份），需提供原件核对；</w:t>
      </w:r>
    </w:p>
    <w:p w14:paraId="7EEB9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6.申请人近2年无违法行为的证明材料（原件1份），该证明材料应如实反映企业的真实情况，并对申请材料真实性负责。</w:t>
      </w:r>
    </w:p>
    <w:p w14:paraId="6D2F96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生产、加工或者使用黄金制品的企业还应提交近3年的企业纳税记录（复印件1份），该材料主要为增值税的纳税总额（代缴税款的银行开出的电子缴税付款凭证、税务机关开具的证明文件）；地市级环保部门出具的污染物排放许可证件和年度达标检测报告（复印件1份）；</w:t>
      </w:r>
    </w:p>
    <w:p w14:paraId="210CE4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8.从事外贸经营的企业应提交适用海关认证企业管理的有关证明材料及近3年的企业纳税记录（复印件1份），该材料主要为增值税的纳税总额，税务机关开具的纳税发票；</w:t>
      </w:r>
    </w:p>
    <w:p w14:paraId="14DDC6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9.教育机构、科学研究机构应提交承担国家科研项目、重点课题的证明材料（原件1份）；</w:t>
      </w:r>
    </w:p>
    <w:p w14:paraId="721449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10.出口黄金制品的企业应当提交在国内取得黄金原料的增值税发票等证明材料（税务机关开具的纳税发票）（复印件1份）；</w:t>
      </w:r>
    </w:p>
    <w:p w14:paraId="1399EC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11.加工贸易因故转内销的黄金制品、转内销商品中进口料件是《黄金及黄金制品进出口管理目录》范围内商品的、在境内购置黄金原料以加工贸易方式出口黄金制品的，按“</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、受理条件”中第（一）点规定的申请条件办理。</w:t>
      </w:r>
    </w:p>
    <w:p w14:paraId="529F78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因加工贸易转内销的，按照“</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受理应提交的材料”中第（一）点初次申请《一批一证》黄金制品进出口的要求办理，报送申请材料。同时，还应当提交有正当理由需要转内销的说明材料（原件1份）、加工贸易业务批准证、加工贸易合同等材料（复印件1份）。</w:t>
      </w:r>
    </w:p>
    <w:p w14:paraId="5CD061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境内购置黄金原料以加工贸易方式出口黄金制品的，企业应在加工贸易手册设立（变更）时向海关申报境内购置黄金情况，并提交《中国人民银行黄金及黄金制品进出口准许证》。</w:t>
      </w:r>
    </w:p>
    <w:p w14:paraId="481AC5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以上提供的资料复印件，均须加盖申请单位公章。</w:t>
      </w:r>
    </w:p>
    <w:p w14:paraId="37FBBA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（二）再次申请《一批一证》应当提交下列资料：</w:t>
      </w:r>
    </w:p>
    <w:p w14:paraId="7FD55C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企业其他材料未发生变更，再次申请黄金制品进出口，只需提交《黄金及黄金制品进出口申请表》原件与黄金进出口合同复印件材料。教育机构、科学研究机构还应当提交前款第9项材料。出口黄金制品的企业还应当提交前款第10项规定的有关材料；若前款其他材料发生变更，比照初次申请办理。</w:t>
      </w:r>
    </w:p>
    <w:p w14:paraId="0CAB36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eastAsia" w:ascii="黑体" w:hAnsi="黑体" w:eastAsia="黑体" w:cs="黑体"/>
          <w:b w:val="0"/>
          <w:bCs/>
          <w:kern w:val="0"/>
          <w:sz w:val="32"/>
          <w:szCs w:val="32"/>
          <w:lang w:val="en-US" w:eastAsia="zh-CN" w:bidi="ar"/>
        </w:rPr>
      </w:pPr>
      <w:r>
        <w:rPr>
          <w:rStyle w:val="7"/>
          <w:rFonts w:hint="eastAsia" w:ascii="黑体" w:hAnsi="黑体" w:eastAsia="黑体" w:cs="黑体"/>
          <w:b w:val="0"/>
          <w:bCs/>
          <w:kern w:val="0"/>
          <w:sz w:val="32"/>
          <w:szCs w:val="32"/>
          <w:lang w:val="en-US" w:eastAsia="zh-CN" w:bidi="ar"/>
        </w:rPr>
        <w:t>九、办理流程</w:t>
      </w:r>
    </w:p>
    <w:p w14:paraId="125E0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（一）申请人向受理机构提出申请并提交有关资料。申请人需把相关纸质材料交至中国人民银行</w:t>
      </w:r>
      <w:r>
        <w:rPr>
          <w:rFonts w:hint="eastAsia" w:ascii="仿宋_GB2312" w:hAnsi="仿宋_GB2312" w:eastAsia="仿宋_GB2312" w:cs="仿宋_GB2312"/>
          <w:sz w:val="32"/>
          <w:szCs w:val="32"/>
          <w:lang w:eastAsia="zh-CN"/>
        </w:rPr>
        <w:t>定西市</w:t>
      </w:r>
      <w:r>
        <w:rPr>
          <w:rFonts w:hint="eastAsia" w:ascii="仿宋_GB2312" w:hAnsi="仿宋_GB2312" w:eastAsia="仿宋_GB2312" w:cs="仿宋_GB2312"/>
          <w:sz w:val="32"/>
          <w:szCs w:val="32"/>
        </w:rPr>
        <w:t>分行货币金银科，后者须填写《行政许可材料接收凭证》。</w:t>
      </w:r>
    </w:p>
    <w:p w14:paraId="322D84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（二）中国人民银行</w:t>
      </w:r>
      <w:r>
        <w:rPr>
          <w:rFonts w:hint="eastAsia" w:ascii="仿宋_GB2312" w:hAnsi="仿宋_GB2312" w:eastAsia="仿宋_GB2312" w:cs="仿宋_GB2312"/>
          <w:sz w:val="32"/>
          <w:szCs w:val="32"/>
          <w:lang w:eastAsia="zh-CN"/>
        </w:rPr>
        <w:t>定西市</w:t>
      </w:r>
      <w:r>
        <w:rPr>
          <w:rFonts w:hint="eastAsia" w:ascii="仿宋_GB2312" w:hAnsi="仿宋_GB2312" w:eastAsia="仿宋_GB2312" w:cs="仿宋_GB2312"/>
          <w:sz w:val="32"/>
          <w:szCs w:val="32"/>
        </w:rPr>
        <w:t>分行货币金银科对材料的完整性、规范性进行审查：</w:t>
      </w:r>
    </w:p>
    <w:p w14:paraId="409B44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1.决定受理。对符合有关条件的自收到申请材料之日起5个工作日内向申请人出具加盖本行行政许可专用章的《行政许可受理申请通知书》，登记《黄金制品进出口申请受理情况登记簿》。</w:t>
      </w:r>
    </w:p>
    <w:p w14:paraId="34A754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予受理。申请事项依法不属于本单位职权范围及不符合法定条件的申请事项，拟作出不予受理决定的，制作《不予受理行政许可决定书》，经本单位法律部门法制审核后，自收到申请材料之日起5个工作日内向申请人出具加盖本行行政许可专用章的《不予受理行政许可决定书》，说明理由，退回全部申请材料。</w:t>
      </w:r>
    </w:p>
    <w:p w14:paraId="2B32FE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补正材料。对于申请材料不齐全或者不符合法定形式的，应当当场或者在收到申请材料之日起5个工作日内一次告知申请人需要补正的全部内容。对于接收材料后才发现需补正材料的，应向申请人出具加盖本行行政许可专用章《行政许可补正告知书》，告知申请人补正材料。逾期不告知的，自收到申请材料之日起即为受理。申请人拒不补正，或者自补正告知书送达之日起十日内无正当理由未补正的，视为放弃行政许可申请，中国人民银行及其分支机构应当退回全部申请材料，同时复印申请人提交的行政许可申请书、身份证明文件，与其他相关文书一并归档保存。</w:t>
      </w:r>
    </w:p>
    <w:p w14:paraId="52400C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（三）中国人民银行</w:t>
      </w:r>
      <w:r>
        <w:rPr>
          <w:rFonts w:hint="eastAsia" w:ascii="仿宋_GB2312" w:hAnsi="仿宋_GB2312" w:eastAsia="仿宋_GB2312" w:cs="仿宋_GB2312"/>
          <w:sz w:val="32"/>
          <w:szCs w:val="32"/>
          <w:lang w:eastAsia="zh-CN"/>
        </w:rPr>
        <w:t>定西市</w:t>
      </w:r>
      <w:r>
        <w:rPr>
          <w:rFonts w:hint="eastAsia" w:ascii="仿宋_GB2312" w:hAnsi="仿宋_GB2312" w:eastAsia="仿宋_GB2312" w:cs="仿宋_GB2312"/>
          <w:sz w:val="32"/>
          <w:szCs w:val="32"/>
        </w:rPr>
        <w:t>分行货币金银科进行初审，分为材料审查和实地核查。</w:t>
      </w:r>
    </w:p>
    <w:p w14:paraId="28BF89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材料审查。货币金银部门根据《黄金及黄金制品进出口管理办法》就材料的真实性、合规性、要式性进行审查，审查黄金制品进出口使用申请是否符合法定条件。必要时，可以要求申请人补充材料和进行调查核实。</w:t>
      </w:r>
    </w:p>
    <w:p w14:paraId="1F2A9B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地核查。货币金银部门在审查资料齐全的基础上，可根据工作需要，对申请材料的实质内容进行实地核查。进行实地核查的工作人员不得少于2人，出示《行政许可现场核实通知书》，出示合法证件，做好《行政许可现场核实记录表》，收集相关证明材料。</w:t>
      </w:r>
    </w:p>
    <w:p w14:paraId="78B522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3.自受理黄金制品进出口申请之日起，中国人民银行</w:t>
      </w:r>
      <w:r>
        <w:rPr>
          <w:rFonts w:hint="eastAsia" w:ascii="仿宋_GB2312" w:hAnsi="仿宋_GB2312" w:eastAsia="仿宋_GB2312" w:cs="仿宋_GB2312"/>
          <w:sz w:val="32"/>
          <w:szCs w:val="32"/>
          <w:lang w:eastAsia="zh-CN"/>
        </w:rPr>
        <w:t>定西市</w:t>
      </w:r>
      <w:r>
        <w:rPr>
          <w:rFonts w:hint="eastAsia" w:ascii="仿宋_GB2312" w:hAnsi="仿宋_GB2312" w:eastAsia="仿宋_GB2312" w:cs="仿宋_GB2312"/>
          <w:sz w:val="32"/>
          <w:szCs w:val="32"/>
        </w:rPr>
        <w:t>分行货币金银科在20个工作日内作出初审意见，并将全部申请材料通过邮政特快专递报送到中国人民银行</w:t>
      </w:r>
      <w:r>
        <w:rPr>
          <w:rFonts w:hint="eastAsia" w:ascii="仿宋_GB2312" w:hAnsi="仿宋_GB2312" w:eastAsia="仿宋_GB2312" w:cs="仿宋_GB2312"/>
          <w:sz w:val="32"/>
          <w:szCs w:val="32"/>
          <w:lang w:eastAsia="zh-CN"/>
        </w:rPr>
        <w:t>甘肃省</w:t>
      </w:r>
      <w:r>
        <w:rPr>
          <w:rFonts w:hint="eastAsia" w:ascii="仿宋_GB2312" w:hAnsi="仿宋_GB2312" w:eastAsia="仿宋_GB2312" w:cs="仿宋_GB2312"/>
          <w:sz w:val="32"/>
          <w:szCs w:val="32"/>
        </w:rPr>
        <w:t>分行。</w:t>
      </w:r>
    </w:p>
    <w:p w14:paraId="539F55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（四）中国人民银行</w:t>
      </w:r>
      <w:r>
        <w:rPr>
          <w:rFonts w:hint="eastAsia" w:ascii="仿宋_GB2312" w:hAnsi="仿宋_GB2312" w:eastAsia="仿宋_GB2312" w:cs="仿宋_GB2312"/>
          <w:sz w:val="32"/>
          <w:szCs w:val="32"/>
          <w:lang w:eastAsia="zh-CN"/>
        </w:rPr>
        <w:t>甘肃省</w:t>
      </w:r>
      <w:r>
        <w:rPr>
          <w:rFonts w:hint="eastAsia" w:ascii="仿宋_GB2312" w:hAnsi="仿宋_GB2312" w:eastAsia="仿宋_GB2312" w:cs="仿宋_GB2312"/>
          <w:sz w:val="32"/>
          <w:szCs w:val="32"/>
        </w:rPr>
        <w:t>分行货币金银处根据规定对申请材料进行审查，并交由法律处进行法制审核后，应当在20个工作日内做出审批决定。做出行政许可决定后，自作出决定之日起10个工作日内向申请人传达，做出准予行政许可的，将《中国人民银行准予行政许可决定书》送达申请人，做出不予行政许可的，将《中国人民银行不予行政许可决定书》送达申请人。送达方式可以通知申请人到现场领取，或采用邮寄方式寄达申请人。</w:t>
      </w:r>
    </w:p>
    <w:p w14:paraId="4F2818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eastAsia" w:ascii="黑体" w:hAnsi="黑体" w:eastAsia="黑体" w:cs="黑体"/>
          <w:b w:val="0"/>
          <w:bCs/>
          <w:kern w:val="0"/>
          <w:sz w:val="32"/>
          <w:szCs w:val="32"/>
          <w:lang w:val="en-US" w:eastAsia="zh-CN" w:bidi="ar"/>
        </w:rPr>
      </w:pPr>
      <w:r>
        <w:rPr>
          <w:rStyle w:val="7"/>
          <w:rFonts w:hint="eastAsia" w:ascii="黑体" w:hAnsi="黑体" w:eastAsia="黑体" w:cs="黑体"/>
          <w:b w:val="0"/>
          <w:bCs/>
          <w:kern w:val="0"/>
          <w:sz w:val="32"/>
          <w:szCs w:val="32"/>
          <w:lang w:val="en-US" w:eastAsia="zh-CN" w:bidi="ar"/>
        </w:rPr>
        <w:t>十、办理地点和时间</w:t>
      </w:r>
    </w:p>
    <w:p w14:paraId="717986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时间：周一至周五上午8：30-12：00，下午14：30-17：30，节假日除外。</w:t>
      </w:r>
    </w:p>
    <w:p w14:paraId="1031D7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w:t>
      </w:r>
      <w:r>
        <w:rPr>
          <w:rFonts w:hint="eastAsia" w:ascii="仿宋_GB2312" w:hAnsi="仿宋_GB2312" w:eastAsia="仿宋_GB2312" w:cs="仿宋_GB2312"/>
          <w:sz w:val="32"/>
          <w:szCs w:val="32"/>
          <w:lang w:eastAsia="zh-CN"/>
        </w:rPr>
        <w:t>安定区西岩路</w:t>
      </w:r>
      <w:r>
        <w:rPr>
          <w:rFonts w:hint="eastAsia" w:ascii="仿宋_GB2312" w:hAnsi="仿宋_GB2312" w:eastAsia="仿宋_GB2312" w:cs="仿宋_GB2312"/>
          <w:sz w:val="32"/>
          <w:szCs w:val="32"/>
          <w:lang w:val="en-US" w:eastAsia="zh-CN"/>
        </w:rPr>
        <w:t>26号2楼208</w:t>
      </w:r>
      <w:r>
        <w:rPr>
          <w:rFonts w:hint="eastAsia" w:ascii="仿宋_GB2312" w:hAnsi="仿宋_GB2312" w:eastAsia="仿宋_GB2312" w:cs="仿宋_GB2312"/>
          <w:sz w:val="32"/>
          <w:szCs w:val="32"/>
        </w:rPr>
        <w:t>；</w:t>
      </w:r>
    </w:p>
    <w:p w14:paraId="4EE178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咨询电话：</w:t>
      </w:r>
      <w:r>
        <w:rPr>
          <w:rFonts w:hint="eastAsia" w:ascii="仿宋_GB2312" w:hAnsi="仿宋_GB2312" w:eastAsia="仿宋_GB2312" w:cs="仿宋_GB2312"/>
          <w:sz w:val="32"/>
          <w:szCs w:val="32"/>
          <w:lang w:val="en-US" w:eastAsia="zh-CN"/>
        </w:rPr>
        <w:t>0932-8237828</w:t>
      </w:r>
      <w:r>
        <w:rPr>
          <w:rFonts w:hint="eastAsia" w:ascii="仿宋_GB2312" w:hAnsi="仿宋_GB2312" w:eastAsia="仿宋_GB2312" w:cs="仿宋_GB2312"/>
          <w:sz w:val="32"/>
          <w:szCs w:val="32"/>
        </w:rPr>
        <w:t>。</w:t>
      </w:r>
    </w:p>
    <w:p w14:paraId="1D36A1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eastAsia" w:ascii="黑体" w:hAnsi="黑体" w:eastAsia="黑体" w:cs="黑体"/>
          <w:b w:val="0"/>
          <w:bCs/>
          <w:kern w:val="0"/>
          <w:sz w:val="32"/>
          <w:szCs w:val="32"/>
          <w:lang w:val="en-US" w:eastAsia="zh-CN" w:bidi="ar"/>
        </w:rPr>
      </w:pPr>
      <w:r>
        <w:rPr>
          <w:rStyle w:val="7"/>
          <w:rFonts w:hint="eastAsia" w:ascii="黑体" w:hAnsi="黑体" w:eastAsia="黑体" w:cs="黑体"/>
          <w:b w:val="0"/>
          <w:bCs/>
          <w:kern w:val="0"/>
          <w:sz w:val="32"/>
          <w:szCs w:val="32"/>
          <w:lang w:val="en-US" w:eastAsia="zh-CN" w:bidi="ar"/>
        </w:rPr>
        <w:t>十一、违规事项处理</w:t>
      </w:r>
    </w:p>
    <w:p w14:paraId="577A1B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及其分支机构有权对被许可人从事行政许可事项的活动进行监督检查，被许可人应当予以配合。被许可人应当按照中国人民银行及其分支机构的规定，及时上报黄金及黄金制品进出口许可的执行情况并且提供有关材料。</w:t>
      </w:r>
    </w:p>
    <w:p w14:paraId="1FC65D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甘肃省</w:t>
      </w:r>
      <w:r>
        <w:rPr>
          <w:rFonts w:hint="eastAsia" w:ascii="仿宋_GB2312" w:hAnsi="仿宋_GB2312" w:eastAsia="仿宋_GB2312" w:cs="仿宋_GB2312"/>
          <w:sz w:val="32"/>
          <w:szCs w:val="32"/>
        </w:rPr>
        <w:t>分行及辖内地级市分行对已取得黄金制品进出口行政许可的被许可人，如有下列行为发生，可以暂停受理其进出口申请：（1）转让、出借黄金及黄金制品进出口证件；（2）使用伪造、变造的黄金及黄金制品进出口证件；（3）骗取或者采用其他不正当手段获取黄金及黄金制品进出口证件；（4）超越进出口行政许可品种、规格、数量范围；（5）虚假捐赠进口黄金及黄金制品；（6）拒绝中国人民银行及其分支机构监督检查，或者在监督检查过程中隐瞒有关情况、提供虚假材料。</w:t>
      </w:r>
    </w:p>
    <w:p w14:paraId="296828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中国人民银行及其分支机构可以依法撤销被许可人的黄金及黄金制品进出口许可文件。</w:t>
      </w:r>
    </w:p>
    <w:p w14:paraId="658BAFC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14:paraId="5D7A13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附录：</w:t>
      </w:r>
      <w:r>
        <w:rPr>
          <w:rFonts w:hint="eastAsia" w:ascii="仿宋_GB2312" w:hAnsi="仿宋_GB2312" w:eastAsia="仿宋_GB2312" w:cs="仿宋_GB2312"/>
          <w:sz w:val="32"/>
          <w:szCs w:val="32"/>
          <w:lang w:eastAsia="zh-CN"/>
        </w:rPr>
        <w:t>黄金及黄金制品进出口申请表</w:t>
      </w:r>
    </w:p>
    <w:p w14:paraId="48A5DEF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14:paraId="04C1E90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14:paraId="58C0ED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附录</w:t>
      </w:r>
    </w:p>
    <w:p w14:paraId="1044C7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7"/>
          <w:rFonts w:hint="eastAsia" w:ascii="方正小标宋_GBK" w:hAnsi="方正小标宋_GBK" w:eastAsia="方正小标宋_GBK" w:cs="方正小标宋_GBK"/>
          <w:b w:val="0"/>
          <w:bCs/>
          <w:sz w:val="44"/>
          <w:szCs w:val="44"/>
          <w:lang w:eastAsia="zh-CN"/>
        </w:rPr>
      </w:pPr>
      <w:r>
        <w:rPr>
          <w:rFonts w:hint="eastAsia" w:ascii="仿宋_GB2312" w:hAnsi="仿宋_GB2312" w:eastAsia="仿宋_GB2312" w:cs="仿宋_GB2312"/>
          <w:sz w:val="32"/>
          <w:szCs w:val="32"/>
          <w:lang w:eastAsia="zh-CN"/>
        </w:rPr>
        <w:drawing>
          <wp:anchor distT="0" distB="0" distL="114300" distR="114300" simplePos="0" relativeHeight="251659264" behindDoc="1" locked="0" layoutInCell="1" allowOverlap="1">
            <wp:simplePos x="0" y="0"/>
            <wp:positionH relativeFrom="column">
              <wp:posOffset>-274320</wp:posOffset>
            </wp:positionH>
            <wp:positionV relativeFrom="paragraph">
              <wp:posOffset>109220</wp:posOffset>
            </wp:positionV>
            <wp:extent cx="6084570" cy="7733030"/>
            <wp:effectExtent l="0" t="0" r="11430" b="8890"/>
            <wp:wrapNone/>
            <wp:docPr id="1" name="图片 1" descr="微信图片_20251105104718_53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105104718_53_8"/>
                    <pic:cNvPicPr>
                      <a:picLocks noChangeAspect="1"/>
                    </pic:cNvPicPr>
                  </pic:nvPicPr>
                  <pic:blipFill>
                    <a:blip r:embed="rId5"/>
                    <a:stretch>
                      <a:fillRect/>
                    </a:stretch>
                  </pic:blipFill>
                  <pic:spPr>
                    <a:xfrm>
                      <a:off x="0" y="0"/>
                      <a:ext cx="6084570" cy="7733030"/>
                    </a:xfrm>
                    <a:prstGeom prst="rect">
                      <a:avLst/>
                    </a:prstGeom>
                    <a:noFill/>
                    <a:ln>
                      <a:noFill/>
                    </a:ln>
                  </pic:spPr>
                </pic:pic>
              </a:graphicData>
            </a:graphic>
          </wp:anchor>
        </w:drawing>
      </w:r>
    </w:p>
    <w:p w14:paraId="252E33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7"/>
          <w:rFonts w:hint="eastAsia" w:ascii="仿宋_GB2312" w:hAnsi="仿宋_GB2312" w:eastAsia="仿宋_GB2312" w:cs="仿宋_GB2312"/>
          <w:b/>
          <w:bCs w:val="0"/>
          <w:sz w:val="32"/>
          <w:szCs w:val="32"/>
        </w:rPr>
      </w:pPr>
    </w:p>
    <w:p w14:paraId="40805BD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p>
    <w:p w14:paraId="7635E0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1" w:fontKey="{96574160-31FA-48C4-BB06-C403774CC901}"/>
  </w:font>
  <w:font w:name="方正小标宋简体">
    <w:altName w:val="黑体"/>
    <w:panose1 w:val="02000000000000000000"/>
    <w:charset w:val="86"/>
    <w:family w:val="auto"/>
    <w:pitch w:val="default"/>
    <w:sig w:usb0="00000000" w:usb1="00000000" w:usb2="00000012"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D67E5897-4A44-4790-A897-17FA1BBBAF98}"/>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9814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4061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C4061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4F67239"/>
    <w:rsid w:val="40A127BC"/>
    <w:rsid w:val="4452614A"/>
    <w:rsid w:val="46020C0D"/>
    <w:rsid w:val="74AA3C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unhideWhenUsed/>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8</Pages>
  <Words>3307</Words>
  <Characters>3366</Characters>
  <Lines>1</Lines>
  <Paragraphs>1</Paragraphs>
  <TotalTime>1</TotalTime>
  <ScaleCrop>false</ScaleCrop>
  <LinksUpToDate>false</LinksUpToDate>
  <CharactersWithSpaces>3366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Administrator</dc:creator>
  <cp:lastModifiedBy>chrisldp</cp:lastModifiedBy>
  <dcterms:modified xsi:type="dcterms:W3CDTF">2025-11-13T08:50:49Z</dcterms:modified>
  <dc:title>中国人民银行中山市分行人民币图样使用、黄金制品进出口行政许可事项服务指南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52C827B70BEB441EB5A718203B7C1585</vt:lpwstr>
  </property>
  <property fmtid="{D5CDD505-2E9C-101B-9397-08002B2CF9AE}" pid="4" name="KSOTemplateDocerSaveRecord">
    <vt:lpwstr>eyJoZGlkIjoiZmEwNGViOTgyOGVhODcwMzViZmM1YjcyNTNlZmZjYjEiLCJ1c2VySWQiOiIxMTQxMTA2MjQ0In0=</vt:lpwstr>
  </property>
</Properties>
</file>