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F81B9">
      <w:pPr>
        <w:rPr>
          <w:rFonts w:hint="eastAsia"/>
        </w:rPr>
      </w:pPr>
      <w:r>
        <w:rPr>
          <w:rFonts w:hint="eastAsia" w:ascii="楷体_GB2312" w:hAnsi="楷体_GB2312" w:eastAsia="楷体_GB2312" w:cs="楷体_GB2312"/>
          <w:spacing w:val="-20"/>
          <w:sz w:val="28"/>
          <w:szCs w:val="28"/>
        </w:rPr>
        <w:t xml:space="preserve">中国人民银行临夏州分行行政许可事项服务指南  </w:t>
      </w:r>
      <w:r>
        <w:rPr>
          <w:rFonts w:hint="eastAsia"/>
        </w:rPr>
        <w:t xml:space="preserve">          </w:t>
      </w:r>
    </w:p>
    <w:p w14:paraId="06735939">
      <w:pPr>
        <w:rPr>
          <w:rFonts w:hint="eastAsia"/>
        </w:rPr>
      </w:pPr>
    </w:p>
    <w:p w14:paraId="6860C4BE">
      <w:pPr>
        <w:rPr>
          <w:rFonts w:hint="eastAsia"/>
        </w:rPr>
      </w:pPr>
    </w:p>
    <w:p w14:paraId="2D408FE5">
      <w:pPr>
        <w:rPr>
          <w:rFonts w:hint="eastAsia"/>
        </w:rPr>
      </w:pPr>
    </w:p>
    <w:p w14:paraId="4FD3A660">
      <w:pPr>
        <w:rPr>
          <w:rFonts w:hint="eastAsia"/>
        </w:rPr>
      </w:pPr>
    </w:p>
    <w:p w14:paraId="01C10686">
      <w:pPr>
        <w:rPr>
          <w:rFonts w:hint="eastAsia"/>
        </w:rPr>
      </w:pPr>
    </w:p>
    <w:p w14:paraId="0A86561F">
      <w:pPr>
        <w:rPr>
          <w:rFonts w:hint="eastAsia"/>
        </w:rPr>
      </w:pPr>
    </w:p>
    <w:p w14:paraId="44D01ABF">
      <w:pPr>
        <w:rPr>
          <w:rFonts w:hint="eastAsia"/>
        </w:rPr>
      </w:pPr>
    </w:p>
    <w:p w14:paraId="5C3E0D2D">
      <w:pPr>
        <w:rPr>
          <w:rFonts w:hint="eastAsia"/>
        </w:rPr>
      </w:pPr>
    </w:p>
    <w:p w14:paraId="69F7FFF8">
      <w:pPr>
        <w:rPr>
          <w:rFonts w:hint="eastAsia"/>
        </w:rPr>
      </w:pPr>
    </w:p>
    <w:p w14:paraId="4A80ECCA">
      <w:pPr>
        <w:rPr>
          <w:rFonts w:hint="eastAsia"/>
        </w:rPr>
      </w:pPr>
    </w:p>
    <w:p w14:paraId="27E0F83E">
      <w:pPr>
        <w:rPr>
          <w:rFonts w:hint="eastAsia"/>
        </w:rPr>
      </w:pPr>
    </w:p>
    <w:p w14:paraId="605E5EBD">
      <w:pPr>
        <w:rPr>
          <w:rFonts w:hint="eastAsia"/>
        </w:rPr>
      </w:pPr>
    </w:p>
    <w:p w14:paraId="56E247CB">
      <w:pPr>
        <w:rPr>
          <w:rFonts w:hint="eastAsia"/>
        </w:rPr>
      </w:pPr>
    </w:p>
    <w:p w14:paraId="1A2E5A5A">
      <w:pPr>
        <w:rPr>
          <w:rFonts w:hint="eastAsia"/>
        </w:rPr>
      </w:pPr>
    </w:p>
    <w:p w14:paraId="7B1DDA74">
      <w:pPr>
        <w:rPr>
          <w:rFonts w:hint="eastAsia"/>
        </w:rPr>
      </w:pPr>
    </w:p>
    <w:p w14:paraId="3DF72887">
      <w:pPr>
        <w:rPr>
          <w:rFonts w:hint="eastAsia"/>
        </w:rPr>
      </w:pPr>
    </w:p>
    <w:p w14:paraId="62C7CBCA">
      <w:pPr>
        <w:rPr>
          <w:rFonts w:hint="eastAsia"/>
        </w:rPr>
      </w:pPr>
    </w:p>
    <w:p w14:paraId="4E9311F8">
      <w:pPr>
        <w:jc w:val="center"/>
        <w:rPr>
          <w:rFonts w:hint="eastAsia" w:ascii="仿宋" w:hAnsi="仿宋" w:eastAsia="仿宋" w:cs="仿宋"/>
          <w:b/>
          <w:bCs/>
          <w:sz w:val="44"/>
          <w:szCs w:val="44"/>
          <w:lang w:eastAsia="zh-CN"/>
        </w:rPr>
      </w:pPr>
      <w:bookmarkStart w:id="0" w:name="_GoBack"/>
      <w:bookmarkEnd w:id="0"/>
      <w:r>
        <w:rPr>
          <w:rFonts w:hint="eastAsia" w:ascii="仿宋" w:hAnsi="仿宋" w:eastAsia="仿宋" w:cs="仿宋"/>
          <w:b/>
          <w:bCs/>
          <w:sz w:val="44"/>
          <w:szCs w:val="44"/>
          <w:lang w:eastAsia="zh-CN"/>
        </w:rPr>
        <w:t>黄金制品进出口审批事项服务指南</w:t>
      </w:r>
    </w:p>
    <w:p w14:paraId="77E4B2E6">
      <w:pPr>
        <w:rPr>
          <w:rFonts w:hint="eastAsia"/>
        </w:rPr>
      </w:pPr>
    </w:p>
    <w:p w14:paraId="0B2A8D8D">
      <w:pPr>
        <w:rPr>
          <w:rFonts w:hint="eastAsia"/>
        </w:rPr>
      </w:pPr>
    </w:p>
    <w:p w14:paraId="56AE2066">
      <w:pPr>
        <w:rPr>
          <w:rFonts w:hint="eastAsia"/>
        </w:rPr>
      </w:pPr>
    </w:p>
    <w:p w14:paraId="1C8162CA">
      <w:pPr>
        <w:rPr>
          <w:rFonts w:hint="eastAsia"/>
        </w:rPr>
      </w:pPr>
    </w:p>
    <w:p w14:paraId="2C09001C">
      <w:pPr>
        <w:rPr>
          <w:rFonts w:hint="eastAsia"/>
        </w:rPr>
      </w:pPr>
    </w:p>
    <w:p w14:paraId="4347F927">
      <w:pPr>
        <w:rPr>
          <w:rFonts w:hint="eastAsia"/>
        </w:rPr>
      </w:pPr>
    </w:p>
    <w:p w14:paraId="17AD8F35">
      <w:pPr>
        <w:rPr>
          <w:rFonts w:hint="eastAsia"/>
        </w:rPr>
      </w:pPr>
    </w:p>
    <w:p w14:paraId="15737B12">
      <w:pPr>
        <w:rPr>
          <w:rFonts w:hint="eastAsia"/>
        </w:rPr>
      </w:pPr>
    </w:p>
    <w:p w14:paraId="4A8A4536">
      <w:pPr>
        <w:rPr>
          <w:rFonts w:hint="eastAsia"/>
        </w:rPr>
      </w:pPr>
    </w:p>
    <w:p w14:paraId="02FC9EF0">
      <w:pPr>
        <w:rPr>
          <w:rFonts w:hint="eastAsia"/>
        </w:rPr>
      </w:pPr>
    </w:p>
    <w:p w14:paraId="495E3E6F">
      <w:pPr>
        <w:rPr>
          <w:rFonts w:hint="eastAsia"/>
        </w:rPr>
      </w:pPr>
    </w:p>
    <w:p w14:paraId="410BA45D">
      <w:pPr>
        <w:rPr>
          <w:rFonts w:hint="eastAsia"/>
        </w:rPr>
      </w:pPr>
    </w:p>
    <w:p w14:paraId="2137996E">
      <w:pPr>
        <w:rPr>
          <w:rFonts w:hint="eastAsia"/>
        </w:rPr>
      </w:pPr>
    </w:p>
    <w:p w14:paraId="304931C3">
      <w:pPr>
        <w:rPr>
          <w:rFonts w:hint="eastAsia"/>
        </w:rPr>
      </w:pPr>
    </w:p>
    <w:p w14:paraId="43C90F15">
      <w:pPr>
        <w:rPr>
          <w:rFonts w:hint="eastAsia"/>
        </w:rPr>
      </w:pPr>
    </w:p>
    <w:p w14:paraId="4809CA0A">
      <w:pPr>
        <w:ind w:firstLine="2560" w:firstLineChars="800"/>
        <w:rPr>
          <w:rFonts w:ascii="仿宋_GB2312" w:hAnsi="仿宋_GB2312" w:eastAsia="仿宋_GB2312" w:cs="仿宋_GB2312"/>
          <w:sz w:val="32"/>
          <w:szCs w:val="32"/>
        </w:rPr>
      </w:pPr>
      <w:r>
        <w:rPr>
          <w:rFonts w:hint="eastAsia" w:ascii="国标黑体" w:hAnsi="国标黑体" w:eastAsia="国标黑体" w:cs="国标黑体"/>
          <w:b w:val="0"/>
          <w:bCs w:val="0"/>
          <w:sz w:val="32"/>
          <w:szCs w:val="32"/>
        </w:rPr>
        <w:t>发布日期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2025年1月1日</w:t>
      </w:r>
    </w:p>
    <w:p w14:paraId="21C4C3C3">
      <w:pPr>
        <w:ind w:firstLine="2560" w:firstLineChars="800"/>
        <w:rPr>
          <w:rFonts w:ascii="仿宋_GB2312" w:hAnsi="仿宋_GB2312" w:eastAsia="仿宋_GB2312" w:cs="仿宋_GB2312"/>
          <w:sz w:val="32"/>
          <w:szCs w:val="32"/>
        </w:rPr>
      </w:pPr>
      <w:r>
        <w:rPr>
          <w:rFonts w:hint="eastAsia" w:ascii="国标黑体" w:hAnsi="国标黑体" w:eastAsia="国标黑体" w:cs="国标黑体"/>
          <w:b w:val="0"/>
          <w:bCs w:val="0"/>
          <w:sz w:val="32"/>
          <w:szCs w:val="32"/>
        </w:rPr>
        <w:t>实施日期</w:t>
      </w:r>
      <w:r>
        <w:rPr>
          <w:rFonts w:hint="eastAsia" w:ascii="仿宋_GB2312" w:hAnsi="仿宋_GB2312" w:eastAsia="仿宋_GB2312" w:cs="仿宋_GB2312"/>
          <w:sz w:val="32"/>
          <w:szCs w:val="32"/>
        </w:rPr>
        <w:t>：自发布之日起</w:t>
      </w:r>
    </w:p>
    <w:p w14:paraId="6A1F76F9">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国标黑体" w:hAnsi="国标黑体" w:eastAsia="国标黑体" w:cs="国标黑体"/>
          <w:b w:val="0"/>
          <w:bCs w:val="0"/>
          <w:sz w:val="32"/>
          <w:szCs w:val="32"/>
        </w:rPr>
        <w:t>发布机构</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临夏州</w:t>
      </w:r>
      <w:r>
        <w:rPr>
          <w:rFonts w:hint="eastAsia" w:ascii="仿宋_GB2312" w:hAnsi="仿宋_GB2312" w:eastAsia="仿宋_GB2312" w:cs="仿宋_GB2312"/>
          <w:sz w:val="32"/>
          <w:szCs w:val="32"/>
          <w:lang w:val="en-US" w:eastAsia="zh-CN"/>
        </w:rPr>
        <w:t>分行</w:t>
      </w:r>
    </w:p>
    <w:p w14:paraId="7EB0C809">
      <w:pPr>
        <w:rPr>
          <w:rFonts w:hint="eastAsia"/>
        </w:rPr>
      </w:pPr>
    </w:p>
    <w:p w14:paraId="775031BF">
      <w:pPr>
        <w:keepNext w:val="0"/>
        <w:keepLines w:val="0"/>
        <w:pageBreakBefore w:val="0"/>
        <w:widowControl/>
        <w:kinsoku w:val="0"/>
        <w:wordWrap/>
        <w:overflowPunct/>
        <w:topLinePunct w:val="0"/>
        <w:autoSpaceDE w:val="0"/>
        <w:autoSpaceDN w:val="0"/>
        <w:bidi w:val="0"/>
        <w:adjustRightInd w:val="0"/>
        <w:snapToGrid w:val="0"/>
        <w:spacing w:before="2" w:line="240" w:lineRule="auto"/>
        <w:jc w:val="left"/>
        <w:textAlignment w:val="baseline"/>
        <w:rPr>
          <w:rFonts w:hint="eastAsia" w:ascii="仿宋_GB2312" w:hAnsi="仿宋_GB2312" w:eastAsia="仿宋_GB2312" w:cs="仿宋_GB2312"/>
          <w:snapToGrid w:val="0"/>
          <w:color w:val="000000"/>
          <w:spacing w:val="-1"/>
          <w:kern w:val="0"/>
          <w:sz w:val="30"/>
          <w:szCs w:val="30"/>
          <w:lang w:eastAsia="en-US"/>
        </w:rPr>
      </w:pPr>
    </w:p>
    <w:p w14:paraId="2B6BA124">
      <w:pPr>
        <w:jc w:val="center"/>
        <w:rPr>
          <w:rFonts w:ascii="黑体" w:hAnsi="黑体" w:eastAsia="黑体" w:cs="黑体"/>
          <w:sz w:val="36"/>
          <w:szCs w:val="36"/>
        </w:rPr>
      </w:pPr>
      <w:r>
        <w:rPr>
          <w:rFonts w:hint="eastAsia" w:ascii="黑体" w:hAnsi="黑体" w:eastAsia="黑体" w:cs="黑体"/>
          <w:sz w:val="36"/>
          <w:szCs w:val="36"/>
        </w:rPr>
        <w:t>黄金制品进出口审批事项服务指南</w:t>
      </w:r>
    </w:p>
    <w:p w14:paraId="1523F038">
      <w:pPr>
        <w:rPr>
          <w:rFonts w:hint="eastAsia"/>
          <w:sz w:val="32"/>
          <w:szCs w:val="32"/>
          <w:lang w:eastAsia="en-US"/>
        </w:rPr>
      </w:pPr>
    </w:p>
    <w:p w14:paraId="5A33F005">
      <w:pPr>
        <w:ind w:firstLine="640" w:firstLineChars="200"/>
        <w:jc w:val="both"/>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一、适用范围</w:t>
      </w:r>
    </w:p>
    <w:p w14:paraId="4FF1FFF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eastAsia="en-US"/>
        </w:rPr>
      </w:pPr>
      <w:r>
        <w:rPr>
          <w:rFonts w:hint="eastAsia" w:ascii="仿宋_GB2312" w:eastAsia="仿宋_GB2312"/>
          <w:sz w:val="32"/>
          <w:szCs w:val="32"/>
          <w:lang w:eastAsia="en-US"/>
        </w:rPr>
        <w:t>本指南适用于黄金制品进出口审批事项的申请和办理。</w:t>
      </w:r>
    </w:p>
    <w:p w14:paraId="6EBFF732">
      <w:pPr>
        <w:ind w:firstLine="640" w:firstLineChars="200"/>
        <w:jc w:val="both"/>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二、事项审查类型</w:t>
      </w:r>
    </w:p>
    <w:p w14:paraId="523739D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en-US"/>
        </w:rPr>
        <w:t>前审后批</w:t>
      </w:r>
      <w:r>
        <w:rPr>
          <w:rFonts w:hint="eastAsia" w:ascii="仿宋_GB2312" w:eastAsia="仿宋_GB2312"/>
          <w:sz w:val="32"/>
          <w:szCs w:val="32"/>
          <w:lang w:eastAsia="zh-CN"/>
        </w:rPr>
        <w:t>。</w:t>
      </w:r>
    </w:p>
    <w:p w14:paraId="2C474865">
      <w:pPr>
        <w:ind w:firstLine="640" w:firstLineChars="200"/>
        <w:jc w:val="both"/>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三、审批依据</w:t>
      </w:r>
    </w:p>
    <w:p w14:paraId="71720C4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eastAsia="en-US"/>
        </w:rPr>
      </w:pPr>
      <w:r>
        <w:rPr>
          <w:rFonts w:hint="eastAsia" w:ascii="仿宋_GB2312" w:eastAsia="仿宋_GB2312"/>
          <w:sz w:val="32"/>
          <w:szCs w:val="32"/>
          <w:lang w:eastAsia="en-US"/>
        </w:rPr>
        <w:t>《国务院对确需保留的行政审批项目设定行政许可的决定》（国务院令第412号）第216项：黄金及其制品进出口审批。</w:t>
      </w:r>
    </w:p>
    <w:p w14:paraId="35A5361E">
      <w:pPr>
        <w:ind w:firstLine="640" w:firstLineChars="200"/>
        <w:jc w:val="both"/>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四、受理机构</w:t>
      </w:r>
    </w:p>
    <w:p w14:paraId="5971F49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en-US"/>
        </w:rPr>
        <w:t>中国人民银行临夏州分行货币金银科</w:t>
      </w:r>
      <w:r>
        <w:rPr>
          <w:rFonts w:hint="eastAsia" w:ascii="仿宋_GB2312" w:eastAsia="仿宋_GB2312"/>
          <w:sz w:val="32"/>
          <w:szCs w:val="32"/>
          <w:lang w:eastAsia="zh-CN"/>
        </w:rPr>
        <w:t>。</w:t>
      </w:r>
    </w:p>
    <w:p w14:paraId="48FA2AB7">
      <w:pPr>
        <w:ind w:firstLine="640" w:firstLineChars="200"/>
        <w:jc w:val="both"/>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五、审核机构</w:t>
      </w:r>
    </w:p>
    <w:p w14:paraId="10F3972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en-US"/>
        </w:rPr>
        <w:t>中国人民银行临夏州分行货币金银科</w:t>
      </w:r>
      <w:r>
        <w:rPr>
          <w:rFonts w:hint="eastAsia" w:ascii="仿宋_GB2312" w:eastAsia="仿宋_GB2312"/>
          <w:sz w:val="32"/>
          <w:szCs w:val="32"/>
          <w:lang w:eastAsia="zh-CN"/>
        </w:rPr>
        <w:t>。</w:t>
      </w:r>
    </w:p>
    <w:p w14:paraId="5777E084">
      <w:pPr>
        <w:ind w:firstLine="640" w:firstLineChars="200"/>
        <w:jc w:val="both"/>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六、决定机构</w:t>
      </w:r>
    </w:p>
    <w:p w14:paraId="0CE120C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en-US"/>
        </w:rPr>
        <w:t>中国人民银行甘肃省分行</w:t>
      </w:r>
      <w:r>
        <w:rPr>
          <w:rFonts w:hint="eastAsia" w:ascii="仿宋_GB2312" w:eastAsia="仿宋_GB2312"/>
          <w:sz w:val="32"/>
          <w:szCs w:val="32"/>
          <w:lang w:eastAsia="zh-CN"/>
        </w:rPr>
        <w:t>。</w:t>
      </w:r>
    </w:p>
    <w:p w14:paraId="7B5F2AC3">
      <w:pPr>
        <w:ind w:firstLine="640" w:firstLineChars="200"/>
        <w:jc w:val="both"/>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七、数量限制</w:t>
      </w:r>
    </w:p>
    <w:p w14:paraId="25FF69D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eastAsia="en-US"/>
        </w:rPr>
      </w:pPr>
      <w:r>
        <w:rPr>
          <w:rFonts w:hint="eastAsia" w:ascii="仿宋_GB2312" w:eastAsia="仿宋_GB2312"/>
          <w:sz w:val="32"/>
          <w:szCs w:val="32"/>
          <w:lang w:eastAsia="en-US"/>
        </w:rPr>
        <w:t>根据《黄金及黄金制品进出口管理办法》（中国人民银行海关总署令〔2015〕第1号发布）规定，中国人民银行根据国家宏观经济调控需求，可以对黄金制品进出口的数量进行限制性审批。</w:t>
      </w:r>
    </w:p>
    <w:p w14:paraId="6DB61224">
      <w:pPr>
        <w:ind w:firstLine="640" w:firstLineChars="200"/>
        <w:jc w:val="both"/>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八、申请条件</w:t>
      </w:r>
    </w:p>
    <w:p w14:paraId="2087110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eastAsia="en-US"/>
        </w:rPr>
      </w:pPr>
      <w:r>
        <w:rPr>
          <w:rFonts w:hint="eastAsia" w:ascii="仿宋_GB2312" w:eastAsia="仿宋_GB2312"/>
          <w:sz w:val="32"/>
          <w:szCs w:val="32"/>
          <w:lang w:eastAsia="en-US"/>
        </w:rPr>
        <w:t>申请黄金制品进出口（除因公益事业捐赠进口黄金制品）的，应当具备法人或其他组织资格，近</w:t>
      </w:r>
      <w:r>
        <w:rPr>
          <w:rFonts w:hint="eastAsia" w:ascii="仿宋_GB2312" w:eastAsia="仿宋_GB2312"/>
          <w:sz w:val="32"/>
          <w:szCs w:val="32"/>
          <w:lang w:val="en-US" w:eastAsia="zh-CN"/>
        </w:rPr>
        <w:t>2</w:t>
      </w:r>
      <w:r>
        <w:rPr>
          <w:rFonts w:hint="eastAsia" w:ascii="仿宋_GB2312" w:eastAsia="仿宋_GB2312"/>
          <w:sz w:val="32"/>
          <w:szCs w:val="32"/>
          <w:lang w:eastAsia="en-US"/>
        </w:rPr>
        <w:t>年内无相关违法违规行为，并且具备下列条件之一：</w:t>
      </w:r>
    </w:p>
    <w:p w14:paraId="0F81872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eastAsia="en-US"/>
        </w:rPr>
      </w:pPr>
      <w:r>
        <w:rPr>
          <w:rFonts w:hint="eastAsia" w:ascii="仿宋_GB2312" w:eastAsia="仿宋_GB2312"/>
          <w:sz w:val="32"/>
          <w:szCs w:val="32"/>
          <w:lang w:eastAsia="zh-CN"/>
        </w:rPr>
        <w:t>（一）</w:t>
      </w:r>
      <w:r>
        <w:rPr>
          <w:rFonts w:hint="eastAsia" w:ascii="仿宋_GB2312" w:eastAsia="仿宋_GB2312"/>
          <w:sz w:val="32"/>
          <w:szCs w:val="32"/>
          <w:lang w:eastAsia="en-US"/>
        </w:rPr>
        <w:t>生产、加工或者使用相关黄金制品的企业，有必要的生产场所、设备和设施，生产过程中的污染物排放达到国家环保标准</w:t>
      </w:r>
      <w:r>
        <w:rPr>
          <w:rFonts w:hint="eastAsia" w:ascii="仿宋_GB2312" w:eastAsia="仿宋_GB2312"/>
          <w:sz w:val="32"/>
          <w:szCs w:val="32"/>
          <w:lang w:eastAsia="zh-CN"/>
        </w:rPr>
        <w:t>，</w:t>
      </w:r>
      <w:r>
        <w:rPr>
          <w:rFonts w:hint="eastAsia" w:ascii="仿宋_GB2312" w:eastAsia="仿宋_GB2312"/>
          <w:sz w:val="32"/>
          <w:szCs w:val="32"/>
          <w:lang w:eastAsia="en-US"/>
        </w:rPr>
        <w:t>有连续3年且年均不少于100万元人民币的纳税记录；</w:t>
      </w:r>
    </w:p>
    <w:p w14:paraId="08C5738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eastAsia="en-US"/>
        </w:rPr>
      </w:pPr>
      <w:r>
        <w:rPr>
          <w:rFonts w:hint="eastAsia" w:ascii="仿宋_GB2312" w:eastAsia="仿宋_GB2312"/>
          <w:sz w:val="32"/>
          <w:szCs w:val="32"/>
          <w:lang w:eastAsia="zh-CN"/>
        </w:rPr>
        <w:t>（二）</w:t>
      </w:r>
      <w:r>
        <w:rPr>
          <w:rFonts w:hint="eastAsia" w:ascii="仿宋_GB2312" w:eastAsia="仿宋_GB2312"/>
          <w:sz w:val="32"/>
          <w:szCs w:val="32"/>
          <w:lang w:eastAsia="en-US"/>
        </w:rPr>
        <w:t>适用海关认证企业管理的外贸经营企业</w:t>
      </w:r>
      <w:r>
        <w:rPr>
          <w:rFonts w:hint="eastAsia" w:ascii="仿宋_GB2312" w:eastAsia="仿宋_GB2312"/>
          <w:sz w:val="32"/>
          <w:szCs w:val="32"/>
          <w:lang w:eastAsia="zh-CN"/>
        </w:rPr>
        <w:t>，</w:t>
      </w:r>
      <w:r>
        <w:rPr>
          <w:rFonts w:hint="eastAsia" w:ascii="仿宋_GB2312" w:eastAsia="仿宋_GB2312"/>
          <w:sz w:val="32"/>
          <w:szCs w:val="32"/>
          <w:lang w:eastAsia="en-US"/>
        </w:rPr>
        <w:t>有连续3年且年均不少于300万元人民币的纳税记录；</w:t>
      </w:r>
    </w:p>
    <w:p w14:paraId="28FEE76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eastAsia="en-US"/>
        </w:rPr>
      </w:pPr>
      <w:r>
        <w:rPr>
          <w:rFonts w:hint="eastAsia" w:ascii="仿宋_GB2312" w:eastAsia="仿宋_GB2312"/>
          <w:sz w:val="32"/>
          <w:szCs w:val="32"/>
          <w:lang w:eastAsia="zh-CN"/>
        </w:rPr>
        <w:t>（三）</w:t>
      </w:r>
      <w:r>
        <w:rPr>
          <w:rFonts w:hint="eastAsia" w:ascii="仿宋_GB2312" w:eastAsia="仿宋_GB2312"/>
          <w:sz w:val="32"/>
          <w:szCs w:val="32"/>
          <w:lang w:eastAsia="en-US"/>
        </w:rPr>
        <w:t>因国家科研项目、重点课题需要使用黄金制品的教育机构、科学研究机构等。</w:t>
      </w:r>
    </w:p>
    <w:p w14:paraId="13D52531">
      <w:pPr>
        <w:ind w:firstLine="640" w:firstLineChars="200"/>
        <w:jc w:val="both"/>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九、禁止性要求</w:t>
      </w:r>
    </w:p>
    <w:p w14:paraId="69A680F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eastAsia="en-US"/>
        </w:rPr>
      </w:pPr>
      <w:r>
        <w:rPr>
          <w:rFonts w:hint="eastAsia" w:ascii="仿宋_GB2312" w:eastAsia="仿宋_GB2312"/>
          <w:sz w:val="32"/>
          <w:szCs w:val="32"/>
          <w:lang w:eastAsia="en-US"/>
        </w:rPr>
        <w:t>（一）黄金制品进出口资格申请不符合《黄金及黄金制品进出口管理办法》规定条件的不予许可。</w:t>
      </w:r>
    </w:p>
    <w:p w14:paraId="551DA90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eastAsia="en-US"/>
        </w:rPr>
      </w:pPr>
      <w:r>
        <w:rPr>
          <w:rFonts w:hint="eastAsia" w:ascii="仿宋_GB2312" w:eastAsia="仿宋_GB2312"/>
          <w:sz w:val="32"/>
          <w:szCs w:val="32"/>
          <w:lang w:eastAsia="en-US"/>
        </w:rPr>
        <w:t>（二）黄金制品进出口申请不符合国家宏观经济调控需要或海关监管要求的不予许可。</w:t>
      </w:r>
    </w:p>
    <w:p w14:paraId="0397858E">
      <w:pPr>
        <w:ind w:firstLine="640" w:firstLineChars="200"/>
        <w:jc w:val="both"/>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十、申请材料</w:t>
      </w:r>
    </w:p>
    <w:tbl>
      <w:tblPr>
        <w:tblStyle w:val="5"/>
        <w:tblW w:w="0" w:type="auto"/>
        <w:jc w:val="center"/>
        <w:tblLayout w:type="fixed"/>
        <w:tblCellMar>
          <w:top w:w="0" w:type="dxa"/>
          <w:left w:w="0" w:type="dxa"/>
          <w:bottom w:w="0" w:type="dxa"/>
          <w:right w:w="0" w:type="dxa"/>
        </w:tblCellMar>
      </w:tblPr>
      <w:tblGrid>
        <w:gridCol w:w="537"/>
        <w:gridCol w:w="1095"/>
        <w:gridCol w:w="715"/>
        <w:gridCol w:w="652"/>
        <w:gridCol w:w="2110"/>
        <w:gridCol w:w="951"/>
        <w:gridCol w:w="1953"/>
      </w:tblGrid>
      <w:tr w14:paraId="24FB6A4C">
        <w:tblPrEx>
          <w:tblCellMar>
            <w:top w:w="0" w:type="dxa"/>
            <w:left w:w="0" w:type="dxa"/>
            <w:bottom w:w="0" w:type="dxa"/>
            <w:right w:w="0" w:type="dxa"/>
          </w:tblCellMar>
        </w:tblPrEx>
        <w:trPr>
          <w:trHeight w:val="57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1BB53BA9">
            <w:pPr>
              <w:autoSpaceDN w:val="0"/>
              <w:jc w:val="center"/>
              <w:textAlignment w:val="center"/>
              <w:rPr>
                <w:rFonts w:ascii="仿宋" w:hAnsi="仿宋" w:eastAsia="仿宋"/>
                <w:b/>
                <w:color w:val="000000"/>
                <w:sz w:val="24"/>
              </w:rPr>
            </w:pPr>
            <w:r>
              <w:rPr>
                <w:rFonts w:ascii="仿宋" w:hAnsi="仿宋" w:eastAsia="仿宋" w:cs="Times New Roman"/>
                <w:b/>
                <w:color w:val="000000"/>
                <w:sz w:val="24"/>
              </w:rPr>
              <w:t>序号</w:t>
            </w:r>
          </w:p>
        </w:tc>
        <w:tc>
          <w:tcPr>
            <w:tcW w:w="1095" w:type="dxa"/>
            <w:tcBorders>
              <w:top w:val="single" w:color="000000" w:sz="4" w:space="0"/>
              <w:left w:val="single" w:color="000000" w:sz="4" w:space="0"/>
              <w:bottom w:val="single" w:color="000000" w:sz="4" w:space="0"/>
              <w:right w:val="single" w:color="000000" w:sz="4" w:space="0"/>
            </w:tcBorders>
            <w:vAlign w:val="center"/>
          </w:tcPr>
          <w:p w14:paraId="521A2C01">
            <w:pPr>
              <w:autoSpaceDN w:val="0"/>
              <w:jc w:val="center"/>
              <w:textAlignment w:val="center"/>
              <w:rPr>
                <w:rFonts w:ascii="仿宋" w:hAnsi="仿宋" w:eastAsia="仿宋"/>
                <w:b/>
                <w:color w:val="000000"/>
                <w:sz w:val="24"/>
              </w:rPr>
            </w:pPr>
            <w:r>
              <w:rPr>
                <w:rFonts w:ascii="仿宋" w:hAnsi="仿宋" w:eastAsia="仿宋"/>
                <w:b/>
                <w:color w:val="000000"/>
                <w:sz w:val="24"/>
              </w:rPr>
              <w:t>提</w:t>
            </w:r>
            <w:r>
              <w:rPr>
                <w:rFonts w:ascii="仿宋" w:hAnsi="仿宋" w:eastAsia="仿宋" w:cs="Times New Roman"/>
                <w:b/>
                <w:color w:val="000000"/>
                <w:sz w:val="24"/>
              </w:rPr>
              <w:t>交材料名称</w:t>
            </w:r>
          </w:p>
        </w:tc>
        <w:tc>
          <w:tcPr>
            <w:tcW w:w="715" w:type="dxa"/>
            <w:tcBorders>
              <w:top w:val="single" w:color="000000" w:sz="4" w:space="0"/>
              <w:left w:val="single" w:color="000000" w:sz="4" w:space="0"/>
              <w:bottom w:val="single" w:color="000000" w:sz="4" w:space="0"/>
              <w:right w:val="single" w:color="000000" w:sz="4" w:space="0"/>
            </w:tcBorders>
            <w:vAlign w:val="center"/>
          </w:tcPr>
          <w:p w14:paraId="21D4CF03">
            <w:pPr>
              <w:autoSpaceDN w:val="0"/>
              <w:jc w:val="center"/>
              <w:textAlignment w:val="center"/>
              <w:rPr>
                <w:rFonts w:ascii="仿宋" w:hAnsi="仿宋" w:eastAsia="仿宋"/>
                <w:b/>
                <w:color w:val="000000"/>
                <w:sz w:val="24"/>
              </w:rPr>
            </w:pPr>
            <w:r>
              <w:rPr>
                <w:rFonts w:ascii="仿宋" w:hAnsi="仿宋" w:eastAsia="仿宋"/>
                <w:b/>
                <w:color w:val="000000"/>
                <w:sz w:val="24"/>
              </w:rPr>
              <w:t>原</w:t>
            </w:r>
            <w:r>
              <w:rPr>
                <w:rFonts w:ascii="仿宋" w:hAnsi="仿宋" w:eastAsia="仿宋" w:cs="Times New Roman"/>
                <w:b/>
                <w:color w:val="000000"/>
                <w:sz w:val="24"/>
              </w:rPr>
              <w:t>件/复印件</w:t>
            </w:r>
          </w:p>
        </w:tc>
        <w:tc>
          <w:tcPr>
            <w:tcW w:w="652" w:type="dxa"/>
            <w:tcBorders>
              <w:top w:val="single" w:color="000000" w:sz="4" w:space="0"/>
              <w:left w:val="single" w:color="000000" w:sz="4" w:space="0"/>
              <w:bottom w:val="single" w:color="000000" w:sz="4" w:space="0"/>
              <w:right w:val="single" w:color="000000" w:sz="4" w:space="0"/>
            </w:tcBorders>
            <w:vAlign w:val="center"/>
          </w:tcPr>
          <w:p w14:paraId="7CD2C916">
            <w:pPr>
              <w:autoSpaceDN w:val="0"/>
              <w:jc w:val="center"/>
              <w:textAlignment w:val="center"/>
              <w:rPr>
                <w:rFonts w:ascii="仿宋" w:hAnsi="仿宋" w:eastAsia="仿宋"/>
                <w:b/>
                <w:color w:val="000000"/>
                <w:sz w:val="24"/>
              </w:rPr>
            </w:pPr>
            <w:r>
              <w:rPr>
                <w:rFonts w:ascii="仿宋" w:hAnsi="仿宋" w:eastAsia="仿宋" w:cs="Times New Roman"/>
                <w:b/>
                <w:color w:val="000000"/>
                <w:sz w:val="24"/>
              </w:rPr>
              <w:t>份数</w:t>
            </w:r>
          </w:p>
        </w:tc>
        <w:tc>
          <w:tcPr>
            <w:tcW w:w="2110" w:type="dxa"/>
            <w:tcBorders>
              <w:top w:val="single" w:color="000000" w:sz="4" w:space="0"/>
              <w:left w:val="single" w:color="000000" w:sz="4" w:space="0"/>
              <w:bottom w:val="single" w:color="000000" w:sz="4" w:space="0"/>
              <w:right w:val="single" w:color="000000" w:sz="4" w:space="0"/>
            </w:tcBorders>
            <w:vAlign w:val="center"/>
          </w:tcPr>
          <w:p w14:paraId="26E47967">
            <w:pPr>
              <w:autoSpaceDN w:val="0"/>
              <w:jc w:val="center"/>
              <w:textAlignment w:val="center"/>
              <w:rPr>
                <w:rFonts w:ascii="仿宋" w:hAnsi="仿宋" w:eastAsia="仿宋"/>
                <w:b/>
                <w:color w:val="000000"/>
                <w:sz w:val="24"/>
              </w:rPr>
            </w:pPr>
            <w:r>
              <w:rPr>
                <w:rFonts w:ascii="仿宋" w:hAnsi="仿宋" w:eastAsia="仿宋" w:cs="Times New Roman"/>
                <w:b/>
                <w:color w:val="000000"/>
                <w:sz w:val="24"/>
              </w:rPr>
              <w:t>要求</w:t>
            </w:r>
          </w:p>
        </w:tc>
        <w:tc>
          <w:tcPr>
            <w:tcW w:w="951" w:type="dxa"/>
            <w:tcBorders>
              <w:top w:val="single" w:color="000000" w:sz="4" w:space="0"/>
              <w:left w:val="single" w:color="000000" w:sz="4" w:space="0"/>
              <w:bottom w:val="single" w:color="000000" w:sz="4" w:space="0"/>
              <w:right w:val="single" w:color="000000" w:sz="4" w:space="0"/>
            </w:tcBorders>
            <w:vAlign w:val="center"/>
          </w:tcPr>
          <w:p w14:paraId="72948613">
            <w:pPr>
              <w:autoSpaceDN w:val="0"/>
              <w:jc w:val="center"/>
              <w:textAlignment w:val="center"/>
              <w:rPr>
                <w:rFonts w:ascii="仿宋" w:hAnsi="仿宋" w:eastAsia="仿宋"/>
                <w:b/>
                <w:color w:val="000000"/>
                <w:sz w:val="24"/>
              </w:rPr>
            </w:pPr>
            <w:r>
              <w:rPr>
                <w:rFonts w:hint="eastAsia" w:ascii="仿宋" w:hAnsi="仿宋" w:eastAsia="仿宋"/>
                <w:b/>
                <w:color w:val="000000"/>
                <w:sz w:val="24"/>
              </w:rPr>
              <w:t>申请类型</w:t>
            </w:r>
          </w:p>
        </w:tc>
        <w:tc>
          <w:tcPr>
            <w:tcW w:w="1953" w:type="dxa"/>
            <w:tcBorders>
              <w:top w:val="single" w:color="000000" w:sz="4" w:space="0"/>
              <w:left w:val="single" w:color="000000" w:sz="4" w:space="0"/>
              <w:bottom w:val="single" w:color="000000" w:sz="4" w:space="0"/>
              <w:right w:val="single" w:color="000000" w:sz="4" w:space="0"/>
            </w:tcBorders>
            <w:vAlign w:val="center"/>
          </w:tcPr>
          <w:p w14:paraId="78EB8E85">
            <w:pPr>
              <w:autoSpaceDN w:val="0"/>
              <w:jc w:val="center"/>
              <w:textAlignment w:val="center"/>
              <w:rPr>
                <w:rFonts w:ascii="仿宋" w:hAnsi="仿宋" w:eastAsia="仿宋"/>
                <w:b/>
                <w:color w:val="000000"/>
                <w:sz w:val="24"/>
              </w:rPr>
            </w:pPr>
            <w:r>
              <w:rPr>
                <w:rFonts w:ascii="仿宋" w:hAnsi="仿宋" w:eastAsia="仿宋"/>
                <w:b/>
                <w:color w:val="000000"/>
                <w:sz w:val="24"/>
              </w:rPr>
              <w:t>备注</w:t>
            </w:r>
          </w:p>
        </w:tc>
      </w:tr>
      <w:tr w14:paraId="340E4C96">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6530F9D7">
            <w:pPr>
              <w:autoSpaceDN w:val="0"/>
              <w:jc w:val="center"/>
              <w:textAlignment w:val="center"/>
              <w:rPr>
                <w:rFonts w:ascii="仿宋" w:hAnsi="仿宋" w:eastAsia="仿宋"/>
                <w:color w:val="000000"/>
                <w:sz w:val="22"/>
              </w:rPr>
            </w:pPr>
            <w:r>
              <w:rPr>
                <w:rFonts w:ascii="仿宋" w:hAnsi="仿宋" w:eastAsia="仿宋"/>
                <w:color w:val="000000"/>
                <w:sz w:val="22"/>
              </w:rPr>
              <w:t>1</w:t>
            </w:r>
          </w:p>
        </w:tc>
        <w:tc>
          <w:tcPr>
            <w:tcW w:w="1095" w:type="dxa"/>
            <w:tcBorders>
              <w:top w:val="single" w:color="000000" w:sz="4" w:space="0"/>
              <w:left w:val="single" w:color="000000" w:sz="4" w:space="0"/>
              <w:bottom w:val="single" w:color="000000" w:sz="4" w:space="0"/>
              <w:right w:val="single" w:color="000000" w:sz="4" w:space="0"/>
            </w:tcBorders>
            <w:vAlign w:val="center"/>
          </w:tcPr>
          <w:p w14:paraId="775783FD">
            <w:pPr>
              <w:autoSpaceDN w:val="0"/>
              <w:jc w:val="center"/>
              <w:textAlignment w:val="center"/>
              <w:rPr>
                <w:rFonts w:ascii="仿宋" w:hAnsi="仿宋" w:eastAsia="仿宋"/>
                <w:color w:val="000000"/>
                <w:sz w:val="22"/>
              </w:rPr>
            </w:pPr>
            <w:r>
              <w:rPr>
                <w:rFonts w:ascii="仿宋" w:hAnsi="仿宋" w:eastAsia="仿宋"/>
                <w:color w:val="000000"/>
                <w:sz w:val="22"/>
              </w:rPr>
              <w:t>申请说明</w:t>
            </w:r>
          </w:p>
        </w:tc>
        <w:tc>
          <w:tcPr>
            <w:tcW w:w="715" w:type="dxa"/>
            <w:tcBorders>
              <w:top w:val="single" w:color="000000" w:sz="4" w:space="0"/>
              <w:left w:val="single" w:color="000000" w:sz="4" w:space="0"/>
              <w:bottom w:val="single" w:color="000000" w:sz="4" w:space="0"/>
              <w:right w:val="single" w:color="000000" w:sz="4" w:space="0"/>
            </w:tcBorders>
            <w:vAlign w:val="center"/>
          </w:tcPr>
          <w:p w14:paraId="3B3CE744">
            <w:pPr>
              <w:autoSpaceDN w:val="0"/>
              <w:jc w:val="center"/>
              <w:textAlignment w:val="center"/>
              <w:rPr>
                <w:rFonts w:ascii="仿宋" w:hAnsi="仿宋" w:eastAsia="仿宋"/>
                <w:color w:val="000000"/>
                <w:sz w:val="22"/>
              </w:rPr>
            </w:pPr>
            <w:r>
              <w:rPr>
                <w:rFonts w:ascii="仿宋" w:hAnsi="仿宋" w:eastAsia="仿宋"/>
                <w:color w:val="000000"/>
                <w:sz w:val="22"/>
              </w:rPr>
              <w:t>原件</w:t>
            </w:r>
          </w:p>
        </w:tc>
        <w:tc>
          <w:tcPr>
            <w:tcW w:w="652" w:type="dxa"/>
            <w:tcBorders>
              <w:top w:val="single" w:color="000000" w:sz="4" w:space="0"/>
              <w:left w:val="single" w:color="000000" w:sz="4" w:space="0"/>
              <w:bottom w:val="single" w:color="000000" w:sz="4" w:space="0"/>
              <w:right w:val="single" w:color="000000" w:sz="4" w:space="0"/>
            </w:tcBorders>
            <w:vAlign w:val="center"/>
          </w:tcPr>
          <w:p w14:paraId="1AA4BB21">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2110" w:type="dxa"/>
            <w:tcBorders>
              <w:top w:val="single" w:color="000000" w:sz="4" w:space="0"/>
              <w:left w:val="single" w:color="000000" w:sz="4" w:space="0"/>
              <w:bottom w:val="single" w:color="000000" w:sz="4" w:space="0"/>
              <w:right w:val="single" w:color="000000" w:sz="4" w:space="0"/>
            </w:tcBorders>
            <w:vAlign w:val="center"/>
          </w:tcPr>
          <w:p w14:paraId="418E99BD">
            <w:pPr>
              <w:autoSpaceDN w:val="0"/>
              <w:jc w:val="center"/>
              <w:textAlignment w:val="center"/>
              <w:rPr>
                <w:rFonts w:ascii="仿宋" w:hAnsi="仿宋" w:eastAsia="仿宋"/>
                <w:color w:val="000000"/>
                <w:sz w:val="22"/>
              </w:rPr>
            </w:pPr>
            <w:r>
              <w:rPr>
                <w:rFonts w:ascii="仿宋" w:hAnsi="仿宋" w:eastAsia="仿宋"/>
                <w:color w:val="000000"/>
                <w:sz w:val="22"/>
              </w:rPr>
              <w:t>应当载明申请人的名称、住所（办公场所）、企业概况、进出口黄金</w:t>
            </w:r>
            <w:r>
              <w:rPr>
                <w:rFonts w:hint="eastAsia" w:ascii="仿宋" w:hAnsi="仿宋" w:eastAsia="仿宋"/>
                <w:color w:val="000000"/>
                <w:sz w:val="22"/>
              </w:rPr>
              <w:t>制品</w:t>
            </w:r>
            <w:r>
              <w:rPr>
                <w:rFonts w:ascii="仿宋" w:hAnsi="仿宋" w:eastAsia="仿宋"/>
                <w:color w:val="000000"/>
                <w:sz w:val="22"/>
              </w:rPr>
              <w:t>的用途和计划数量等。</w:t>
            </w:r>
          </w:p>
        </w:tc>
        <w:tc>
          <w:tcPr>
            <w:tcW w:w="951" w:type="dxa"/>
            <w:tcBorders>
              <w:top w:val="single" w:color="000000" w:sz="4" w:space="0"/>
              <w:left w:val="single" w:color="000000" w:sz="4" w:space="0"/>
              <w:bottom w:val="single" w:color="000000" w:sz="4" w:space="0"/>
              <w:right w:val="single" w:color="000000" w:sz="4" w:space="0"/>
            </w:tcBorders>
            <w:vAlign w:val="center"/>
          </w:tcPr>
          <w:p w14:paraId="0B884251">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p w14:paraId="283D953E">
            <w:pPr>
              <w:autoSpaceDN w:val="0"/>
              <w:jc w:val="center"/>
              <w:textAlignment w:val="center"/>
              <w:rPr>
                <w:rFonts w:ascii="仿宋" w:hAnsi="仿宋" w:eastAsia="仿宋"/>
                <w:color w:val="000000"/>
                <w:sz w:val="22"/>
              </w:rPr>
            </w:pPr>
          </w:p>
        </w:tc>
        <w:tc>
          <w:tcPr>
            <w:tcW w:w="1953" w:type="dxa"/>
            <w:tcBorders>
              <w:top w:val="single" w:color="000000" w:sz="4" w:space="0"/>
              <w:left w:val="single" w:color="000000" w:sz="4" w:space="0"/>
              <w:bottom w:val="single" w:color="000000" w:sz="4" w:space="0"/>
              <w:right w:val="single" w:color="000000" w:sz="4" w:space="0"/>
            </w:tcBorders>
            <w:vAlign w:val="center"/>
          </w:tcPr>
          <w:p w14:paraId="00111047">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p w14:paraId="113DCBB5">
            <w:pPr>
              <w:autoSpaceDN w:val="0"/>
              <w:jc w:val="center"/>
              <w:textAlignment w:val="center"/>
              <w:rPr>
                <w:rFonts w:ascii="仿宋" w:hAnsi="仿宋" w:eastAsia="仿宋"/>
                <w:color w:val="000000"/>
                <w:sz w:val="22"/>
              </w:rPr>
            </w:pPr>
            <w:r>
              <w:rPr>
                <w:rFonts w:hint="eastAsia" w:ascii="仿宋" w:hAnsi="仿宋" w:eastAsia="仿宋"/>
                <w:color w:val="000000"/>
                <w:sz w:val="22"/>
              </w:rPr>
              <w:t>示范文本见附录2</w:t>
            </w:r>
          </w:p>
        </w:tc>
      </w:tr>
      <w:tr w14:paraId="0D888C2E">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3D2B6B58">
            <w:pPr>
              <w:autoSpaceDN w:val="0"/>
              <w:jc w:val="center"/>
              <w:textAlignment w:val="center"/>
              <w:rPr>
                <w:rFonts w:ascii="仿宋" w:hAnsi="仿宋" w:eastAsia="仿宋"/>
                <w:color w:val="000000"/>
                <w:sz w:val="22"/>
              </w:rPr>
            </w:pPr>
            <w:r>
              <w:rPr>
                <w:rFonts w:ascii="仿宋" w:hAnsi="仿宋" w:eastAsia="仿宋"/>
                <w:color w:val="000000"/>
                <w:sz w:val="22"/>
              </w:rPr>
              <w:t>2</w:t>
            </w:r>
          </w:p>
        </w:tc>
        <w:tc>
          <w:tcPr>
            <w:tcW w:w="1095" w:type="dxa"/>
            <w:tcBorders>
              <w:top w:val="single" w:color="000000" w:sz="4" w:space="0"/>
              <w:left w:val="single" w:color="000000" w:sz="4" w:space="0"/>
              <w:bottom w:val="single" w:color="000000" w:sz="4" w:space="0"/>
              <w:right w:val="single" w:color="000000" w:sz="4" w:space="0"/>
            </w:tcBorders>
            <w:vAlign w:val="center"/>
          </w:tcPr>
          <w:p w14:paraId="69DF738B">
            <w:pPr>
              <w:autoSpaceDN w:val="0"/>
              <w:jc w:val="center"/>
              <w:textAlignment w:val="center"/>
              <w:rPr>
                <w:rFonts w:ascii="仿宋" w:hAnsi="仿宋" w:eastAsia="仿宋"/>
                <w:color w:val="000000"/>
                <w:sz w:val="22"/>
              </w:rPr>
            </w:pPr>
            <w:r>
              <w:rPr>
                <w:rFonts w:ascii="仿宋" w:hAnsi="仿宋" w:eastAsia="仿宋"/>
                <w:color w:val="000000"/>
                <w:sz w:val="22"/>
              </w:rPr>
              <w:t>《</w:t>
            </w:r>
            <w:r>
              <w:rPr>
                <w:rFonts w:hint="eastAsia" w:ascii="仿宋" w:hAnsi="仿宋" w:eastAsia="仿宋"/>
                <w:color w:val="000000"/>
                <w:sz w:val="22"/>
              </w:rPr>
              <w:t>黄金及其制品</w:t>
            </w:r>
            <w:r>
              <w:rPr>
                <w:rFonts w:ascii="仿宋" w:hAnsi="仿宋" w:eastAsia="仿宋"/>
                <w:color w:val="000000"/>
                <w:sz w:val="22"/>
              </w:rPr>
              <w:t>进出口申请表》</w:t>
            </w:r>
          </w:p>
        </w:tc>
        <w:tc>
          <w:tcPr>
            <w:tcW w:w="715" w:type="dxa"/>
            <w:tcBorders>
              <w:top w:val="single" w:color="000000" w:sz="4" w:space="0"/>
              <w:left w:val="single" w:color="000000" w:sz="4" w:space="0"/>
              <w:bottom w:val="single" w:color="000000" w:sz="4" w:space="0"/>
              <w:right w:val="single" w:color="000000" w:sz="4" w:space="0"/>
            </w:tcBorders>
            <w:vAlign w:val="center"/>
          </w:tcPr>
          <w:p w14:paraId="666847D7">
            <w:pPr>
              <w:autoSpaceDN w:val="0"/>
              <w:jc w:val="center"/>
              <w:textAlignment w:val="center"/>
              <w:rPr>
                <w:rFonts w:ascii="仿宋" w:hAnsi="仿宋" w:eastAsia="仿宋"/>
                <w:color w:val="000000"/>
                <w:sz w:val="22"/>
              </w:rPr>
            </w:pPr>
            <w:r>
              <w:rPr>
                <w:rFonts w:ascii="仿宋" w:hAnsi="仿宋" w:eastAsia="仿宋"/>
                <w:color w:val="000000"/>
                <w:sz w:val="22"/>
              </w:rPr>
              <w:t>原件</w:t>
            </w:r>
          </w:p>
        </w:tc>
        <w:tc>
          <w:tcPr>
            <w:tcW w:w="652" w:type="dxa"/>
            <w:tcBorders>
              <w:top w:val="single" w:color="000000" w:sz="4" w:space="0"/>
              <w:left w:val="single" w:color="000000" w:sz="4" w:space="0"/>
              <w:bottom w:val="single" w:color="000000" w:sz="4" w:space="0"/>
              <w:right w:val="single" w:color="000000" w:sz="4" w:space="0"/>
            </w:tcBorders>
            <w:vAlign w:val="center"/>
          </w:tcPr>
          <w:p w14:paraId="28A45BFE">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2110" w:type="dxa"/>
            <w:tcBorders>
              <w:top w:val="single" w:color="000000" w:sz="4" w:space="0"/>
              <w:left w:val="single" w:color="000000" w:sz="4" w:space="0"/>
              <w:bottom w:val="single" w:color="000000" w:sz="4" w:space="0"/>
              <w:right w:val="single" w:color="000000" w:sz="4" w:space="0"/>
            </w:tcBorders>
            <w:vAlign w:val="center"/>
          </w:tcPr>
          <w:p w14:paraId="23F2EF21">
            <w:pPr>
              <w:autoSpaceDN w:val="0"/>
              <w:jc w:val="center"/>
              <w:textAlignment w:val="center"/>
              <w:rPr>
                <w:rFonts w:ascii="仿宋" w:hAnsi="仿宋" w:eastAsia="仿宋"/>
                <w:color w:val="000000"/>
                <w:sz w:val="22"/>
              </w:rPr>
            </w:pPr>
            <w:r>
              <w:rPr>
                <w:rFonts w:ascii="仿宋" w:hAnsi="仿宋" w:eastAsia="仿宋"/>
                <w:color w:val="000000"/>
                <w:sz w:val="22"/>
              </w:rPr>
              <w:t>按</w:t>
            </w:r>
            <w:r>
              <w:rPr>
                <w:rFonts w:hint="eastAsia" w:ascii="仿宋" w:hAnsi="仿宋" w:eastAsia="仿宋"/>
                <w:color w:val="000000"/>
                <w:sz w:val="22"/>
              </w:rPr>
              <w:t>中国人民银行</w:t>
            </w:r>
            <w:r>
              <w:rPr>
                <w:rFonts w:hint="eastAsia" w:ascii="仿宋" w:hAnsi="仿宋" w:eastAsia="仿宋"/>
                <w:color w:val="000000"/>
                <w:sz w:val="22"/>
                <w:lang w:eastAsia="zh-CN"/>
              </w:rPr>
              <w:t>甘肃省分</w:t>
            </w:r>
            <w:r>
              <w:rPr>
                <w:rFonts w:hint="eastAsia" w:ascii="仿宋" w:hAnsi="仿宋" w:eastAsia="仿宋"/>
                <w:color w:val="000000"/>
                <w:sz w:val="22"/>
              </w:rPr>
              <w:t>行</w:t>
            </w:r>
            <w:r>
              <w:rPr>
                <w:rFonts w:ascii="仿宋" w:hAnsi="仿宋" w:eastAsia="仿宋"/>
                <w:color w:val="000000"/>
                <w:sz w:val="22"/>
              </w:rPr>
              <w:t>规定要求填写</w:t>
            </w:r>
          </w:p>
        </w:tc>
        <w:tc>
          <w:tcPr>
            <w:tcW w:w="951" w:type="dxa"/>
            <w:tcBorders>
              <w:top w:val="single" w:color="000000" w:sz="4" w:space="0"/>
              <w:left w:val="single" w:color="000000" w:sz="4" w:space="0"/>
              <w:bottom w:val="single" w:color="000000" w:sz="4" w:space="0"/>
              <w:right w:val="single" w:color="000000" w:sz="4" w:space="0"/>
            </w:tcBorders>
            <w:vAlign w:val="center"/>
          </w:tcPr>
          <w:p w14:paraId="275E3300">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p w14:paraId="1A4B4A29">
            <w:pPr>
              <w:autoSpaceDN w:val="0"/>
              <w:jc w:val="center"/>
              <w:textAlignment w:val="center"/>
              <w:rPr>
                <w:rFonts w:ascii="仿宋" w:hAnsi="仿宋" w:eastAsia="仿宋"/>
                <w:color w:val="000000"/>
                <w:sz w:val="22"/>
              </w:rPr>
            </w:pPr>
          </w:p>
        </w:tc>
        <w:tc>
          <w:tcPr>
            <w:tcW w:w="1953" w:type="dxa"/>
            <w:tcBorders>
              <w:top w:val="single" w:color="000000" w:sz="4" w:space="0"/>
              <w:left w:val="single" w:color="000000" w:sz="4" w:space="0"/>
              <w:bottom w:val="single" w:color="000000" w:sz="4" w:space="0"/>
              <w:right w:val="single" w:color="000000" w:sz="4" w:space="0"/>
            </w:tcBorders>
            <w:vAlign w:val="center"/>
          </w:tcPr>
          <w:p w14:paraId="1853260E">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14:paraId="13B1B719">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0441CC53">
            <w:pPr>
              <w:autoSpaceDN w:val="0"/>
              <w:jc w:val="center"/>
              <w:textAlignment w:val="center"/>
              <w:rPr>
                <w:rFonts w:ascii="仿宋" w:hAnsi="仿宋" w:eastAsia="仿宋"/>
                <w:color w:val="000000"/>
                <w:sz w:val="22"/>
              </w:rPr>
            </w:pPr>
            <w:r>
              <w:rPr>
                <w:rFonts w:hint="eastAsia" w:ascii="仿宋" w:hAnsi="仿宋" w:eastAsia="仿宋"/>
                <w:color w:val="000000"/>
                <w:sz w:val="22"/>
              </w:rPr>
              <w:t>3</w:t>
            </w:r>
          </w:p>
        </w:tc>
        <w:tc>
          <w:tcPr>
            <w:tcW w:w="1095" w:type="dxa"/>
            <w:tcBorders>
              <w:top w:val="single" w:color="000000" w:sz="4" w:space="0"/>
              <w:left w:val="single" w:color="000000" w:sz="4" w:space="0"/>
              <w:bottom w:val="single" w:color="000000" w:sz="4" w:space="0"/>
              <w:right w:val="single" w:color="000000" w:sz="4" w:space="0"/>
            </w:tcBorders>
            <w:vAlign w:val="center"/>
          </w:tcPr>
          <w:p w14:paraId="4B957A71">
            <w:pPr>
              <w:autoSpaceDN w:val="0"/>
              <w:jc w:val="center"/>
              <w:textAlignment w:val="center"/>
              <w:rPr>
                <w:rFonts w:ascii="仿宋" w:hAnsi="仿宋" w:eastAsia="仿宋"/>
                <w:color w:val="000000"/>
                <w:sz w:val="22"/>
              </w:rPr>
            </w:pPr>
            <w:r>
              <w:rPr>
                <w:rFonts w:hint="eastAsia" w:ascii="仿宋" w:hAnsi="仿宋" w:eastAsia="仿宋"/>
                <w:color w:val="000000"/>
                <w:sz w:val="20"/>
                <w:szCs w:val="20"/>
              </w:rPr>
              <w:t>企业法人营业执照副本</w:t>
            </w:r>
          </w:p>
        </w:tc>
        <w:tc>
          <w:tcPr>
            <w:tcW w:w="715" w:type="dxa"/>
            <w:tcBorders>
              <w:top w:val="single" w:color="000000" w:sz="4" w:space="0"/>
              <w:left w:val="single" w:color="000000" w:sz="4" w:space="0"/>
              <w:bottom w:val="single" w:color="000000" w:sz="4" w:space="0"/>
              <w:right w:val="single" w:color="000000" w:sz="4" w:space="0"/>
            </w:tcBorders>
            <w:vAlign w:val="center"/>
          </w:tcPr>
          <w:p w14:paraId="53A12FFF">
            <w:pPr>
              <w:autoSpaceDN w:val="0"/>
              <w:jc w:val="center"/>
              <w:textAlignment w:val="center"/>
              <w:rPr>
                <w:rFonts w:ascii="仿宋" w:hAnsi="仿宋" w:eastAsia="仿宋"/>
                <w:color w:val="000000"/>
                <w:sz w:val="22"/>
              </w:rPr>
            </w:pPr>
            <w:r>
              <w:rPr>
                <w:rFonts w:hint="eastAsia" w:ascii="仿宋" w:hAnsi="仿宋" w:eastAsia="仿宋"/>
                <w:color w:val="000000"/>
                <w:sz w:val="22"/>
              </w:rPr>
              <w:t>复印件</w:t>
            </w:r>
          </w:p>
        </w:tc>
        <w:tc>
          <w:tcPr>
            <w:tcW w:w="652" w:type="dxa"/>
            <w:tcBorders>
              <w:top w:val="single" w:color="000000" w:sz="4" w:space="0"/>
              <w:left w:val="single" w:color="000000" w:sz="4" w:space="0"/>
              <w:bottom w:val="single" w:color="000000" w:sz="4" w:space="0"/>
              <w:right w:val="single" w:color="000000" w:sz="4" w:space="0"/>
            </w:tcBorders>
            <w:vAlign w:val="center"/>
          </w:tcPr>
          <w:p w14:paraId="354EF447">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2110" w:type="dxa"/>
            <w:tcBorders>
              <w:top w:val="single" w:color="000000" w:sz="4" w:space="0"/>
              <w:left w:val="single" w:color="000000" w:sz="4" w:space="0"/>
              <w:bottom w:val="single" w:color="000000" w:sz="4" w:space="0"/>
              <w:right w:val="single" w:color="000000" w:sz="4" w:space="0"/>
            </w:tcBorders>
            <w:vAlign w:val="center"/>
          </w:tcPr>
          <w:p w14:paraId="61EB5FA1">
            <w:pPr>
              <w:autoSpaceDN w:val="0"/>
              <w:jc w:val="center"/>
              <w:textAlignment w:val="center"/>
              <w:rPr>
                <w:rFonts w:ascii="仿宋" w:hAnsi="仿宋" w:eastAsia="仿宋"/>
                <w:color w:val="000000"/>
                <w:sz w:val="22"/>
              </w:rPr>
            </w:pPr>
          </w:p>
        </w:tc>
        <w:tc>
          <w:tcPr>
            <w:tcW w:w="951" w:type="dxa"/>
            <w:tcBorders>
              <w:top w:val="single" w:color="000000" w:sz="4" w:space="0"/>
              <w:left w:val="single" w:color="000000" w:sz="4" w:space="0"/>
              <w:bottom w:val="single" w:color="000000" w:sz="4" w:space="0"/>
              <w:right w:val="single" w:color="000000" w:sz="4" w:space="0"/>
            </w:tcBorders>
            <w:vAlign w:val="center"/>
          </w:tcPr>
          <w:p w14:paraId="5A95F62B">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vAlign w:val="center"/>
          </w:tcPr>
          <w:p w14:paraId="2A503E88">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14:paraId="62BF7393">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3CCFBCCC">
            <w:pPr>
              <w:autoSpaceDN w:val="0"/>
              <w:jc w:val="center"/>
              <w:textAlignment w:val="center"/>
              <w:rPr>
                <w:rFonts w:ascii="仿宋" w:hAnsi="仿宋" w:eastAsia="仿宋"/>
                <w:color w:val="000000"/>
                <w:sz w:val="22"/>
              </w:rPr>
            </w:pPr>
            <w:r>
              <w:rPr>
                <w:rFonts w:hint="eastAsia" w:ascii="仿宋" w:hAnsi="仿宋" w:eastAsia="仿宋"/>
                <w:color w:val="000000"/>
                <w:sz w:val="22"/>
              </w:rPr>
              <w:t>4</w:t>
            </w:r>
          </w:p>
        </w:tc>
        <w:tc>
          <w:tcPr>
            <w:tcW w:w="1095" w:type="dxa"/>
            <w:tcBorders>
              <w:top w:val="single" w:color="000000" w:sz="4" w:space="0"/>
              <w:left w:val="single" w:color="000000" w:sz="4" w:space="0"/>
              <w:bottom w:val="single" w:color="000000" w:sz="4" w:space="0"/>
              <w:right w:val="single" w:color="000000" w:sz="4" w:space="0"/>
            </w:tcBorders>
            <w:vAlign w:val="center"/>
          </w:tcPr>
          <w:p w14:paraId="5FCF3D66">
            <w:pPr>
              <w:autoSpaceDN w:val="0"/>
              <w:jc w:val="center"/>
              <w:textAlignment w:val="center"/>
              <w:rPr>
                <w:rFonts w:ascii="仿宋" w:hAnsi="仿宋" w:eastAsia="仿宋"/>
                <w:color w:val="000000"/>
                <w:sz w:val="22"/>
              </w:rPr>
            </w:pPr>
            <w:r>
              <w:rPr>
                <w:rFonts w:ascii="仿宋" w:hAnsi="仿宋" w:eastAsia="仿宋"/>
                <w:color w:val="000000"/>
                <w:sz w:val="22"/>
              </w:rPr>
              <w:t>黄金</w:t>
            </w:r>
            <w:r>
              <w:rPr>
                <w:rFonts w:hint="eastAsia" w:ascii="仿宋" w:hAnsi="仿宋" w:eastAsia="仿宋"/>
                <w:color w:val="000000"/>
                <w:sz w:val="22"/>
              </w:rPr>
              <w:t>制品</w:t>
            </w:r>
            <w:r>
              <w:rPr>
                <w:rFonts w:ascii="仿宋" w:hAnsi="仿宋" w:eastAsia="仿宋"/>
                <w:color w:val="000000"/>
                <w:sz w:val="22"/>
              </w:rPr>
              <w:t>进出口合同</w:t>
            </w:r>
            <w:r>
              <w:rPr>
                <w:rFonts w:hint="eastAsia" w:ascii="仿宋" w:hAnsi="仿宋" w:eastAsia="仿宋"/>
                <w:color w:val="000000"/>
                <w:sz w:val="22"/>
              </w:rPr>
              <w:t>（或交易记录）</w:t>
            </w:r>
          </w:p>
        </w:tc>
        <w:tc>
          <w:tcPr>
            <w:tcW w:w="715" w:type="dxa"/>
            <w:tcBorders>
              <w:top w:val="single" w:color="000000" w:sz="4" w:space="0"/>
              <w:left w:val="single" w:color="000000" w:sz="4" w:space="0"/>
              <w:bottom w:val="single" w:color="000000" w:sz="4" w:space="0"/>
              <w:right w:val="single" w:color="000000" w:sz="4" w:space="0"/>
            </w:tcBorders>
            <w:vAlign w:val="center"/>
          </w:tcPr>
          <w:p w14:paraId="14C6BB34">
            <w:pPr>
              <w:autoSpaceDN w:val="0"/>
              <w:jc w:val="center"/>
              <w:textAlignment w:val="center"/>
              <w:rPr>
                <w:rFonts w:ascii="仿宋" w:hAnsi="仿宋" w:eastAsia="仿宋"/>
                <w:color w:val="000000"/>
                <w:sz w:val="22"/>
              </w:rPr>
            </w:pPr>
            <w:r>
              <w:rPr>
                <w:rFonts w:hint="eastAsia" w:ascii="仿宋" w:hAnsi="仿宋" w:eastAsia="仿宋"/>
                <w:color w:val="000000"/>
                <w:sz w:val="22"/>
              </w:rPr>
              <w:t>原件</w:t>
            </w:r>
          </w:p>
        </w:tc>
        <w:tc>
          <w:tcPr>
            <w:tcW w:w="652" w:type="dxa"/>
            <w:tcBorders>
              <w:top w:val="single" w:color="000000" w:sz="4" w:space="0"/>
              <w:left w:val="single" w:color="000000" w:sz="4" w:space="0"/>
              <w:bottom w:val="single" w:color="000000" w:sz="4" w:space="0"/>
              <w:right w:val="single" w:color="000000" w:sz="4" w:space="0"/>
            </w:tcBorders>
            <w:vAlign w:val="center"/>
          </w:tcPr>
          <w:p w14:paraId="1A10E7CC">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2110" w:type="dxa"/>
            <w:tcBorders>
              <w:top w:val="single" w:color="000000" w:sz="4" w:space="0"/>
              <w:left w:val="single" w:color="000000" w:sz="4" w:space="0"/>
              <w:bottom w:val="single" w:color="000000" w:sz="4" w:space="0"/>
              <w:right w:val="single" w:color="000000" w:sz="4" w:space="0"/>
            </w:tcBorders>
            <w:vAlign w:val="center"/>
          </w:tcPr>
          <w:p w14:paraId="78EF4AF7">
            <w:pPr>
              <w:autoSpaceDN w:val="0"/>
              <w:jc w:val="center"/>
              <w:textAlignment w:val="center"/>
              <w:rPr>
                <w:rFonts w:ascii="仿宋" w:hAnsi="仿宋" w:eastAsia="仿宋"/>
                <w:color w:val="000000"/>
                <w:sz w:val="22"/>
              </w:rPr>
            </w:pPr>
            <w:r>
              <w:rPr>
                <w:rFonts w:ascii="仿宋" w:hAnsi="仿宋" w:eastAsia="仿宋"/>
                <w:color w:val="000000"/>
                <w:sz w:val="22"/>
              </w:rPr>
              <w:t>包括进出口黄金</w:t>
            </w:r>
            <w:r>
              <w:rPr>
                <w:rFonts w:hint="eastAsia" w:ascii="仿宋" w:hAnsi="仿宋" w:eastAsia="仿宋"/>
                <w:color w:val="000000"/>
                <w:sz w:val="22"/>
              </w:rPr>
              <w:t>制品的</w:t>
            </w:r>
            <w:r>
              <w:rPr>
                <w:rFonts w:ascii="仿宋" w:hAnsi="仿宋" w:eastAsia="仿宋"/>
                <w:color w:val="000000"/>
                <w:sz w:val="22"/>
              </w:rPr>
              <w:t>货值、</w:t>
            </w:r>
            <w:r>
              <w:rPr>
                <w:rFonts w:hint="eastAsia" w:ascii="仿宋" w:hAnsi="仿宋" w:eastAsia="仿宋"/>
                <w:color w:val="000000"/>
                <w:sz w:val="22"/>
              </w:rPr>
              <w:t>进出口</w:t>
            </w:r>
            <w:r>
              <w:rPr>
                <w:rFonts w:ascii="仿宋" w:hAnsi="仿宋" w:eastAsia="仿宋"/>
                <w:color w:val="000000"/>
                <w:sz w:val="22"/>
              </w:rPr>
              <w:t>时间、数量等。</w:t>
            </w:r>
          </w:p>
        </w:tc>
        <w:tc>
          <w:tcPr>
            <w:tcW w:w="951" w:type="dxa"/>
            <w:tcBorders>
              <w:top w:val="single" w:color="000000" w:sz="4" w:space="0"/>
              <w:left w:val="single" w:color="000000" w:sz="4" w:space="0"/>
              <w:bottom w:val="single" w:color="000000" w:sz="4" w:space="0"/>
              <w:right w:val="single" w:color="000000" w:sz="4" w:space="0"/>
            </w:tcBorders>
            <w:vAlign w:val="center"/>
          </w:tcPr>
          <w:p w14:paraId="3A461A8E">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vAlign w:val="center"/>
          </w:tcPr>
          <w:p w14:paraId="4F5D4F14">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14:paraId="210FD89B">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7430AA6F">
            <w:pPr>
              <w:autoSpaceDN w:val="0"/>
              <w:jc w:val="center"/>
              <w:textAlignment w:val="center"/>
              <w:rPr>
                <w:rFonts w:ascii="仿宋" w:hAnsi="仿宋" w:eastAsia="仿宋"/>
                <w:color w:val="000000"/>
                <w:sz w:val="22"/>
              </w:rPr>
            </w:pPr>
            <w:r>
              <w:rPr>
                <w:rFonts w:hint="eastAsia" w:ascii="仿宋" w:hAnsi="仿宋" w:eastAsia="仿宋"/>
                <w:color w:val="000000"/>
                <w:sz w:val="22"/>
              </w:rPr>
              <w:t>5</w:t>
            </w:r>
          </w:p>
        </w:tc>
        <w:tc>
          <w:tcPr>
            <w:tcW w:w="1095" w:type="dxa"/>
            <w:tcBorders>
              <w:top w:val="single" w:color="000000" w:sz="4" w:space="0"/>
              <w:left w:val="single" w:color="000000" w:sz="4" w:space="0"/>
              <w:bottom w:val="single" w:color="000000" w:sz="4" w:space="0"/>
              <w:right w:val="single" w:color="000000" w:sz="4" w:space="0"/>
            </w:tcBorders>
            <w:vAlign w:val="center"/>
          </w:tcPr>
          <w:p w14:paraId="23FDEAD6">
            <w:pPr>
              <w:autoSpaceDN w:val="0"/>
              <w:jc w:val="center"/>
              <w:textAlignment w:val="center"/>
              <w:rPr>
                <w:rFonts w:ascii="仿宋" w:hAnsi="仿宋" w:eastAsia="仿宋"/>
                <w:color w:val="000000"/>
                <w:sz w:val="22"/>
              </w:rPr>
            </w:pPr>
            <w:r>
              <w:rPr>
                <w:rFonts w:hint="eastAsia" w:ascii="仿宋" w:hAnsi="仿宋" w:eastAsia="仿宋"/>
                <w:color w:val="000000"/>
                <w:sz w:val="22"/>
              </w:rPr>
              <w:t>近2年</w:t>
            </w:r>
            <w:r>
              <w:rPr>
                <w:rFonts w:ascii="仿宋" w:hAnsi="仿宋" w:eastAsia="仿宋"/>
                <w:color w:val="000000"/>
                <w:sz w:val="22"/>
              </w:rPr>
              <w:t>无违法行为的</w:t>
            </w:r>
            <w:r>
              <w:rPr>
                <w:rFonts w:hint="eastAsia" w:ascii="仿宋" w:hAnsi="仿宋" w:eastAsia="仿宋"/>
                <w:color w:val="000000"/>
                <w:sz w:val="22"/>
              </w:rPr>
              <w:t>说</w:t>
            </w:r>
            <w:r>
              <w:rPr>
                <w:rFonts w:ascii="仿宋" w:hAnsi="仿宋" w:eastAsia="仿宋"/>
                <w:color w:val="000000"/>
                <w:sz w:val="22"/>
              </w:rPr>
              <w:t>明材料</w:t>
            </w:r>
          </w:p>
        </w:tc>
        <w:tc>
          <w:tcPr>
            <w:tcW w:w="715" w:type="dxa"/>
            <w:tcBorders>
              <w:top w:val="single" w:color="000000" w:sz="4" w:space="0"/>
              <w:left w:val="single" w:color="000000" w:sz="4" w:space="0"/>
              <w:bottom w:val="single" w:color="000000" w:sz="4" w:space="0"/>
              <w:right w:val="single" w:color="000000" w:sz="4" w:space="0"/>
            </w:tcBorders>
            <w:vAlign w:val="center"/>
          </w:tcPr>
          <w:p w14:paraId="2E31013B">
            <w:pPr>
              <w:autoSpaceDN w:val="0"/>
              <w:jc w:val="center"/>
              <w:textAlignment w:val="center"/>
              <w:rPr>
                <w:rFonts w:ascii="仿宋" w:hAnsi="仿宋" w:eastAsia="仿宋"/>
                <w:color w:val="000000"/>
                <w:sz w:val="22"/>
              </w:rPr>
            </w:pPr>
            <w:r>
              <w:rPr>
                <w:rFonts w:ascii="仿宋" w:hAnsi="仿宋" w:eastAsia="仿宋"/>
                <w:color w:val="000000"/>
                <w:sz w:val="22"/>
              </w:rPr>
              <w:t>原件</w:t>
            </w:r>
          </w:p>
        </w:tc>
        <w:tc>
          <w:tcPr>
            <w:tcW w:w="652" w:type="dxa"/>
            <w:tcBorders>
              <w:top w:val="single" w:color="000000" w:sz="4" w:space="0"/>
              <w:left w:val="single" w:color="000000" w:sz="4" w:space="0"/>
              <w:bottom w:val="single" w:color="000000" w:sz="4" w:space="0"/>
              <w:right w:val="single" w:color="000000" w:sz="4" w:space="0"/>
            </w:tcBorders>
            <w:vAlign w:val="center"/>
          </w:tcPr>
          <w:p w14:paraId="5278FA0A">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2110" w:type="dxa"/>
            <w:tcBorders>
              <w:top w:val="single" w:color="000000" w:sz="4" w:space="0"/>
              <w:left w:val="single" w:color="000000" w:sz="4" w:space="0"/>
              <w:bottom w:val="single" w:color="000000" w:sz="4" w:space="0"/>
              <w:right w:val="single" w:color="000000" w:sz="4" w:space="0"/>
            </w:tcBorders>
            <w:vAlign w:val="center"/>
          </w:tcPr>
          <w:p w14:paraId="60F0840D">
            <w:pPr>
              <w:autoSpaceDN w:val="0"/>
              <w:jc w:val="center"/>
              <w:textAlignment w:val="center"/>
              <w:rPr>
                <w:rFonts w:ascii="仿宋" w:hAnsi="仿宋" w:eastAsia="仿宋"/>
                <w:color w:val="000000"/>
                <w:sz w:val="22"/>
              </w:rPr>
            </w:pPr>
            <w:r>
              <w:rPr>
                <w:rFonts w:ascii="仿宋" w:hAnsi="仿宋" w:eastAsia="仿宋"/>
                <w:color w:val="000000"/>
                <w:sz w:val="22"/>
              </w:rPr>
              <w:t>应当如实提交有关材料和反映真实情况，并对申请材料实质内容的真实性负责。</w:t>
            </w:r>
          </w:p>
        </w:tc>
        <w:tc>
          <w:tcPr>
            <w:tcW w:w="951" w:type="dxa"/>
            <w:tcBorders>
              <w:top w:val="single" w:color="000000" w:sz="4" w:space="0"/>
              <w:left w:val="single" w:color="000000" w:sz="4" w:space="0"/>
              <w:bottom w:val="single" w:color="000000" w:sz="4" w:space="0"/>
              <w:right w:val="single" w:color="000000" w:sz="4" w:space="0"/>
            </w:tcBorders>
            <w:vAlign w:val="center"/>
          </w:tcPr>
          <w:p w14:paraId="44F63C8D">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vAlign w:val="center"/>
          </w:tcPr>
          <w:p w14:paraId="3D14C690">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14:paraId="63D401D8">
        <w:tblPrEx>
          <w:tblCellMar>
            <w:top w:w="0" w:type="dxa"/>
            <w:left w:w="0" w:type="dxa"/>
            <w:bottom w:w="0" w:type="dxa"/>
            <w:right w:w="0" w:type="dxa"/>
          </w:tblCellMar>
        </w:tblPrEx>
        <w:trPr>
          <w:trHeight w:val="81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16A74C6B">
            <w:pPr>
              <w:autoSpaceDN w:val="0"/>
              <w:jc w:val="center"/>
              <w:textAlignment w:val="center"/>
              <w:rPr>
                <w:rFonts w:ascii="仿宋" w:hAnsi="仿宋" w:eastAsia="仿宋"/>
                <w:color w:val="000000"/>
                <w:sz w:val="22"/>
              </w:rPr>
            </w:pPr>
            <w:r>
              <w:rPr>
                <w:rFonts w:hint="eastAsia" w:ascii="仿宋" w:hAnsi="仿宋" w:eastAsia="仿宋"/>
                <w:color w:val="000000"/>
                <w:sz w:val="22"/>
              </w:rPr>
              <w:t>6</w:t>
            </w:r>
          </w:p>
        </w:tc>
        <w:tc>
          <w:tcPr>
            <w:tcW w:w="1095" w:type="dxa"/>
            <w:tcBorders>
              <w:top w:val="single" w:color="000000" w:sz="4" w:space="0"/>
              <w:left w:val="single" w:color="000000" w:sz="4" w:space="0"/>
              <w:bottom w:val="single" w:color="000000" w:sz="4" w:space="0"/>
              <w:right w:val="single" w:color="000000" w:sz="4" w:space="0"/>
            </w:tcBorders>
            <w:vAlign w:val="center"/>
          </w:tcPr>
          <w:p w14:paraId="7F48A659">
            <w:pPr>
              <w:autoSpaceDN w:val="0"/>
              <w:jc w:val="center"/>
              <w:textAlignment w:val="center"/>
              <w:rPr>
                <w:rFonts w:ascii="仿宋" w:hAnsi="仿宋" w:eastAsia="仿宋"/>
                <w:color w:val="000000"/>
                <w:sz w:val="22"/>
              </w:rPr>
            </w:pPr>
            <w:r>
              <w:rPr>
                <w:rFonts w:ascii="仿宋" w:hAnsi="仿宋" w:eastAsia="仿宋"/>
                <w:color w:val="000000"/>
                <w:sz w:val="22"/>
              </w:rPr>
              <w:t>污染物排放许可证件和年度达标检测报告</w:t>
            </w:r>
          </w:p>
        </w:tc>
        <w:tc>
          <w:tcPr>
            <w:tcW w:w="715" w:type="dxa"/>
            <w:tcBorders>
              <w:top w:val="single" w:color="000000" w:sz="4" w:space="0"/>
              <w:left w:val="single" w:color="000000" w:sz="4" w:space="0"/>
              <w:bottom w:val="single" w:color="000000" w:sz="4" w:space="0"/>
              <w:right w:val="single" w:color="000000" w:sz="4" w:space="0"/>
            </w:tcBorders>
            <w:vAlign w:val="center"/>
          </w:tcPr>
          <w:p w14:paraId="712E438A">
            <w:pPr>
              <w:autoSpaceDN w:val="0"/>
              <w:jc w:val="center"/>
              <w:textAlignment w:val="center"/>
              <w:rPr>
                <w:rFonts w:ascii="仿宋" w:hAnsi="仿宋" w:eastAsia="仿宋"/>
                <w:color w:val="000000"/>
                <w:sz w:val="22"/>
              </w:rPr>
            </w:pPr>
            <w:r>
              <w:rPr>
                <w:rFonts w:hint="eastAsia" w:ascii="仿宋" w:hAnsi="仿宋" w:eastAsia="仿宋"/>
                <w:color w:val="000000"/>
                <w:sz w:val="22"/>
              </w:rPr>
              <w:t>原</w:t>
            </w:r>
            <w:r>
              <w:rPr>
                <w:rFonts w:ascii="仿宋" w:hAnsi="仿宋" w:eastAsia="仿宋"/>
                <w:color w:val="000000"/>
                <w:sz w:val="22"/>
              </w:rPr>
              <w:t>件</w:t>
            </w:r>
          </w:p>
        </w:tc>
        <w:tc>
          <w:tcPr>
            <w:tcW w:w="652" w:type="dxa"/>
            <w:tcBorders>
              <w:top w:val="single" w:color="000000" w:sz="4" w:space="0"/>
              <w:left w:val="single" w:color="000000" w:sz="4" w:space="0"/>
              <w:bottom w:val="single" w:color="000000" w:sz="4" w:space="0"/>
              <w:right w:val="single" w:color="000000" w:sz="4" w:space="0"/>
            </w:tcBorders>
            <w:vAlign w:val="center"/>
          </w:tcPr>
          <w:p w14:paraId="7690C343">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2110" w:type="dxa"/>
            <w:tcBorders>
              <w:top w:val="single" w:color="000000" w:sz="4" w:space="0"/>
              <w:left w:val="single" w:color="000000" w:sz="4" w:space="0"/>
              <w:bottom w:val="single" w:color="000000" w:sz="4" w:space="0"/>
              <w:right w:val="single" w:color="000000" w:sz="4" w:space="0"/>
            </w:tcBorders>
            <w:vAlign w:val="center"/>
          </w:tcPr>
          <w:p w14:paraId="2D2D6196">
            <w:pPr>
              <w:autoSpaceDN w:val="0"/>
              <w:jc w:val="center"/>
              <w:textAlignment w:val="center"/>
              <w:rPr>
                <w:rFonts w:ascii="仿宋" w:hAnsi="仿宋" w:eastAsia="仿宋"/>
                <w:color w:val="000000"/>
                <w:sz w:val="22"/>
              </w:rPr>
            </w:pPr>
            <w:r>
              <w:rPr>
                <w:rFonts w:ascii="仿宋" w:hAnsi="仿宋" w:eastAsia="仿宋"/>
                <w:color w:val="000000"/>
                <w:sz w:val="22"/>
              </w:rPr>
              <w:t>省级或地市级环境保护</w:t>
            </w:r>
            <w:r>
              <w:rPr>
                <w:rFonts w:hint="eastAsia" w:ascii="仿宋" w:hAnsi="仿宋" w:eastAsia="仿宋"/>
                <w:color w:val="000000"/>
                <w:sz w:val="22"/>
              </w:rPr>
              <w:t>部门出具的文件</w:t>
            </w:r>
          </w:p>
        </w:tc>
        <w:tc>
          <w:tcPr>
            <w:tcW w:w="951" w:type="dxa"/>
            <w:tcBorders>
              <w:top w:val="single" w:color="000000" w:sz="4" w:space="0"/>
              <w:left w:val="single" w:color="000000" w:sz="4" w:space="0"/>
              <w:bottom w:val="single" w:color="000000" w:sz="4" w:space="0"/>
              <w:right w:val="single" w:color="000000" w:sz="4" w:space="0"/>
            </w:tcBorders>
            <w:vAlign w:val="center"/>
          </w:tcPr>
          <w:p w14:paraId="4CF24325">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vAlign w:val="center"/>
          </w:tcPr>
          <w:p w14:paraId="5428228A">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14:paraId="5E33F434">
        <w:tblPrEx>
          <w:tblCellMar>
            <w:top w:w="0" w:type="dxa"/>
            <w:left w:w="0" w:type="dxa"/>
            <w:bottom w:w="0" w:type="dxa"/>
            <w:right w:w="0" w:type="dxa"/>
          </w:tblCellMar>
        </w:tblPrEx>
        <w:trPr>
          <w:trHeight w:val="810" w:hRule="atLeast"/>
          <w:jc w:val="center"/>
        </w:trPr>
        <w:tc>
          <w:tcPr>
            <w:tcW w:w="537" w:type="dxa"/>
            <w:tcBorders>
              <w:top w:val="single" w:color="000000" w:sz="4" w:space="0"/>
              <w:left w:val="single" w:color="000000" w:sz="4" w:space="0"/>
              <w:right w:val="single" w:color="000000" w:sz="4" w:space="0"/>
            </w:tcBorders>
            <w:vAlign w:val="center"/>
          </w:tcPr>
          <w:p w14:paraId="0513EE8A">
            <w:pPr>
              <w:autoSpaceDN w:val="0"/>
              <w:jc w:val="center"/>
              <w:textAlignment w:val="center"/>
              <w:rPr>
                <w:rFonts w:ascii="仿宋" w:hAnsi="仿宋" w:eastAsia="仿宋"/>
                <w:color w:val="000000"/>
                <w:sz w:val="22"/>
              </w:rPr>
            </w:pPr>
            <w:r>
              <w:rPr>
                <w:rFonts w:hint="eastAsia" w:ascii="仿宋" w:hAnsi="仿宋" w:eastAsia="仿宋"/>
                <w:color w:val="000000"/>
                <w:sz w:val="22"/>
              </w:rPr>
              <w:t>7</w:t>
            </w:r>
          </w:p>
        </w:tc>
        <w:tc>
          <w:tcPr>
            <w:tcW w:w="1095" w:type="dxa"/>
            <w:tcBorders>
              <w:top w:val="single" w:color="000000" w:sz="4" w:space="0"/>
              <w:left w:val="single" w:color="000000" w:sz="4" w:space="0"/>
              <w:right w:val="single" w:color="000000" w:sz="4" w:space="0"/>
            </w:tcBorders>
            <w:vAlign w:val="center"/>
          </w:tcPr>
          <w:p w14:paraId="717193ED">
            <w:pPr>
              <w:autoSpaceDN w:val="0"/>
              <w:jc w:val="center"/>
              <w:textAlignment w:val="center"/>
              <w:rPr>
                <w:rFonts w:ascii="仿宋" w:hAnsi="仿宋" w:eastAsia="仿宋"/>
                <w:color w:val="000000"/>
                <w:sz w:val="22"/>
              </w:rPr>
            </w:pPr>
            <w:r>
              <w:rPr>
                <w:rFonts w:hint="eastAsia" w:ascii="仿宋" w:hAnsi="仿宋" w:eastAsia="仿宋"/>
                <w:color w:val="000000"/>
                <w:sz w:val="22"/>
              </w:rPr>
              <w:t>近3年</w:t>
            </w:r>
            <w:r>
              <w:rPr>
                <w:rFonts w:ascii="仿宋" w:hAnsi="仿宋" w:eastAsia="仿宋"/>
                <w:color w:val="000000"/>
                <w:sz w:val="22"/>
              </w:rPr>
              <w:t>纳税记录</w:t>
            </w:r>
          </w:p>
        </w:tc>
        <w:tc>
          <w:tcPr>
            <w:tcW w:w="715" w:type="dxa"/>
            <w:tcBorders>
              <w:top w:val="single" w:color="000000" w:sz="4" w:space="0"/>
              <w:left w:val="single" w:color="000000" w:sz="4" w:space="0"/>
              <w:right w:val="single" w:color="000000" w:sz="4" w:space="0"/>
            </w:tcBorders>
            <w:vAlign w:val="center"/>
          </w:tcPr>
          <w:p w14:paraId="18037F85">
            <w:pPr>
              <w:autoSpaceDN w:val="0"/>
              <w:jc w:val="center"/>
              <w:textAlignment w:val="center"/>
              <w:rPr>
                <w:rFonts w:ascii="仿宋" w:hAnsi="仿宋" w:eastAsia="仿宋"/>
                <w:color w:val="000000"/>
                <w:sz w:val="22"/>
              </w:rPr>
            </w:pPr>
            <w:r>
              <w:rPr>
                <w:rFonts w:ascii="仿宋" w:hAnsi="仿宋" w:eastAsia="仿宋"/>
                <w:color w:val="000000"/>
                <w:sz w:val="22"/>
              </w:rPr>
              <w:t>复印件</w:t>
            </w:r>
          </w:p>
        </w:tc>
        <w:tc>
          <w:tcPr>
            <w:tcW w:w="652" w:type="dxa"/>
            <w:tcBorders>
              <w:top w:val="single" w:color="000000" w:sz="4" w:space="0"/>
              <w:left w:val="single" w:color="000000" w:sz="4" w:space="0"/>
              <w:right w:val="single" w:color="000000" w:sz="4" w:space="0"/>
            </w:tcBorders>
            <w:vAlign w:val="center"/>
          </w:tcPr>
          <w:p w14:paraId="2DC71122">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2110" w:type="dxa"/>
            <w:tcBorders>
              <w:top w:val="single" w:color="000000" w:sz="4" w:space="0"/>
              <w:left w:val="single" w:color="000000" w:sz="4" w:space="0"/>
              <w:right w:val="single" w:color="000000" w:sz="4" w:space="0"/>
            </w:tcBorders>
            <w:vAlign w:val="center"/>
          </w:tcPr>
          <w:p w14:paraId="2E8D2DED">
            <w:pPr>
              <w:autoSpaceDN w:val="0"/>
              <w:jc w:val="center"/>
              <w:textAlignment w:val="center"/>
              <w:rPr>
                <w:rFonts w:ascii="仿宋" w:hAnsi="仿宋" w:eastAsia="仿宋"/>
                <w:color w:val="000000"/>
                <w:sz w:val="22"/>
              </w:rPr>
            </w:pPr>
            <w:r>
              <w:rPr>
                <w:rFonts w:ascii="仿宋" w:hAnsi="仿宋" w:eastAsia="仿宋"/>
                <w:color w:val="000000"/>
                <w:sz w:val="22"/>
              </w:rPr>
              <w:t>各种税收总额。代缴税款的银行开出的电子缴税付款凭证。税务机关开具的纳税发票</w:t>
            </w:r>
            <w:r>
              <w:rPr>
                <w:rFonts w:hint="eastAsia" w:ascii="仿宋" w:hAnsi="仿宋" w:eastAsia="仿宋"/>
                <w:color w:val="000000"/>
                <w:sz w:val="22"/>
              </w:rPr>
              <w:t>、完税证明等</w:t>
            </w:r>
            <w:r>
              <w:rPr>
                <w:rFonts w:ascii="仿宋" w:hAnsi="仿宋" w:eastAsia="仿宋"/>
                <w:color w:val="000000"/>
                <w:sz w:val="22"/>
              </w:rPr>
              <w:t>。</w:t>
            </w:r>
          </w:p>
        </w:tc>
        <w:tc>
          <w:tcPr>
            <w:tcW w:w="951" w:type="dxa"/>
            <w:tcBorders>
              <w:top w:val="single" w:color="000000" w:sz="4" w:space="0"/>
              <w:left w:val="single" w:color="000000" w:sz="4" w:space="0"/>
              <w:right w:val="single" w:color="000000" w:sz="4" w:space="0"/>
            </w:tcBorders>
            <w:vAlign w:val="center"/>
          </w:tcPr>
          <w:p w14:paraId="62C74A8F">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right w:val="single" w:color="000000" w:sz="4" w:space="0"/>
            </w:tcBorders>
            <w:vAlign w:val="center"/>
          </w:tcPr>
          <w:p w14:paraId="19A5915F">
            <w:pPr>
              <w:autoSpaceDN w:val="0"/>
              <w:jc w:val="center"/>
              <w:textAlignment w:val="center"/>
              <w:rPr>
                <w:rFonts w:ascii="仿宋" w:hAnsi="仿宋" w:eastAsia="仿宋"/>
                <w:color w:val="000000"/>
                <w:sz w:val="22"/>
              </w:rPr>
            </w:pPr>
            <w:r>
              <w:rPr>
                <w:rFonts w:ascii="仿宋" w:hAnsi="仿宋" w:eastAsia="仿宋"/>
                <w:color w:val="000000"/>
                <w:sz w:val="22"/>
              </w:rPr>
              <w:t>税务机关开具的证明文件，需加盖申请人单位公章</w:t>
            </w:r>
          </w:p>
        </w:tc>
      </w:tr>
      <w:tr w14:paraId="0B128DB4">
        <w:tblPrEx>
          <w:tblCellMar>
            <w:top w:w="0" w:type="dxa"/>
            <w:left w:w="0" w:type="dxa"/>
            <w:bottom w:w="0" w:type="dxa"/>
            <w:right w:w="0" w:type="dxa"/>
          </w:tblCellMar>
        </w:tblPrEx>
        <w:trPr>
          <w:trHeight w:val="810" w:hRule="atLeast"/>
          <w:jc w:val="center"/>
        </w:trPr>
        <w:tc>
          <w:tcPr>
            <w:tcW w:w="537" w:type="dxa"/>
            <w:tcBorders>
              <w:top w:val="single" w:color="000000" w:sz="4" w:space="0"/>
              <w:left w:val="single" w:color="000000" w:sz="4" w:space="0"/>
              <w:right w:val="single" w:color="000000" w:sz="4" w:space="0"/>
            </w:tcBorders>
            <w:vAlign w:val="center"/>
          </w:tcPr>
          <w:p w14:paraId="5B0817A7">
            <w:pPr>
              <w:autoSpaceDN w:val="0"/>
              <w:jc w:val="center"/>
              <w:textAlignment w:val="center"/>
              <w:rPr>
                <w:rFonts w:ascii="仿宋" w:hAnsi="仿宋" w:eastAsia="仿宋"/>
                <w:color w:val="000000"/>
                <w:sz w:val="22"/>
              </w:rPr>
            </w:pPr>
            <w:r>
              <w:rPr>
                <w:rFonts w:hint="eastAsia" w:ascii="仿宋" w:hAnsi="仿宋" w:eastAsia="仿宋"/>
                <w:color w:val="000000"/>
                <w:sz w:val="22"/>
              </w:rPr>
              <w:t>8</w:t>
            </w:r>
          </w:p>
        </w:tc>
        <w:tc>
          <w:tcPr>
            <w:tcW w:w="1095" w:type="dxa"/>
            <w:tcBorders>
              <w:top w:val="single" w:color="000000" w:sz="4" w:space="0"/>
              <w:left w:val="single" w:color="000000" w:sz="4" w:space="0"/>
              <w:right w:val="single" w:color="000000" w:sz="4" w:space="0"/>
            </w:tcBorders>
            <w:vAlign w:val="center"/>
          </w:tcPr>
          <w:p w14:paraId="6D696BD7">
            <w:pPr>
              <w:tabs>
                <w:tab w:val="left" w:pos="480"/>
              </w:tabs>
              <w:autoSpaceDN w:val="0"/>
              <w:jc w:val="center"/>
              <w:textAlignment w:val="center"/>
              <w:rPr>
                <w:rFonts w:ascii="仿宋" w:hAnsi="仿宋" w:eastAsia="仿宋"/>
                <w:color w:val="000000"/>
                <w:sz w:val="22"/>
              </w:rPr>
            </w:pPr>
            <w:r>
              <w:rPr>
                <w:rFonts w:hint="eastAsia" w:ascii="仿宋" w:hAnsi="仿宋" w:eastAsia="仿宋"/>
                <w:color w:val="000000"/>
                <w:sz w:val="22"/>
              </w:rPr>
              <w:t>对外贸易经营者备案材料</w:t>
            </w:r>
          </w:p>
        </w:tc>
        <w:tc>
          <w:tcPr>
            <w:tcW w:w="715" w:type="dxa"/>
            <w:tcBorders>
              <w:top w:val="single" w:color="000000" w:sz="4" w:space="0"/>
              <w:left w:val="single" w:color="000000" w:sz="4" w:space="0"/>
              <w:right w:val="single" w:color="000000" w:sz="4" w:space="0"/>
            </w:tcBorders>
            <w:vAlign w:val="center"/>
          </w:tcPr>
          <w:p w14:paraId="343A11A1">
            <w:pPr>
              <w:autoSpaceDN w:val="0"/>
              <w:jc w:val="center"/>
              <w:textAlignment w:val="center"/>
              <w:rPr>
                <w:rFonts w:ascii="仿宋" w:hAnsi="仿宋" w:eastAsia="仿宋"/>
                <w:color w:val="000000"/>
                <w:sz w:val="22"/>
              </w:rPr>
            </w:pPr>
            <w:r>
              <w:rPr>
                <w:rFonts w:hint="eastAsia" w:ascii="仿宋" w:hAnsi="仿宋" w:eastAsia="仿宋"/>
                <w:color w:val="000000"/>
                <w:sz w:val="22"/>
              </w:rPr>
              <w:t>原</w:t>
            </w:r>
            <w:r>
              <w:rPr>
                <w:rFonts w:ascii="仿宋" w:hAnsi="仿宋" w:eastAsia="仿宋"/>
                <w:color w:val="000000"/>
                <w:sz w:val="22"/>
              </w:rPr>
              <w:t>件</w:t>
            </w:r>
          </w:p>
        </w:tc>
        <w:tc>
          <w:tcPr>
            <w:tcW w:w="652" w:type="dxa"/>
            <w:tcBorders>
              <w:top w:val="single" w:color="000000" w:sz="4" w:space="0"/>
              <w:left w:val="single" w:color="000000" w:sz="4" w:space="0"/>
              <w:right w:val="single" w:color="000000" w:sz="4" w:space="0"/>
            </w:tcBorders>
            <w:vAlign w:val="center"/>
          </w:tcPr>
          <w:p w14:paraId="65566876">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2110" w:type="dxa"/>
            <w:tcBorders>
              <w:top w:val="single" w:color="000000" w:sz="4" w:space="0"/>
              <w:left w:val="single" w:color="000000" w:sz="4" w:space="0"/>
              <w:right w:val="single" w:color="000000" w:sz="4" w:space="0"/>
            </w:tcBorders>
            <w:vAlign w:val="center"/>
          </w:tcPr>
          <w:p w14:paraId="7BD178C5">
            <w:pPr>
              <w:autoSpaceDN w:val="0"/>
              <w:jc w:val="center"/>
              <w:textAlignment w:val="center"/>
              <w:rPr>
                <w:rFonts w:ascii="仿宋" w:hAnsi="仿宋" w:eastAsia="仿宋"/>
                <w:color w:val="000000"/>
                <w:sz w:val="22"/>
              </w:rPr>
            </w:pPr>
            <w:r>
              <w:rPr>
                <w:rFonts w:hint="eastAsia" w:ascii="仿宋" w:hAnsi="仿宋" w:eastAsia="仿宋"/>
                <w:color w:val="000000"/>
                <w:sz w:val="22"/>
              </w:rPr>
              <w:t>《对外贸易经营者备案表》或《外商投资企业批准证书》等</w:t>
            </w:r>
          </w:p>
        </w:tc>
        <w:tc>
          <w:tcPr>
            <w:tcW w:w="951" w:type="dxa"/>
            <w:tcBorders>
              <w:top w:val="single" w:color="000000" w:sz="4" w:space="0"/>
              <w:left w:val="single" w:color="000000" w:sz="4" w:space="0"/>
              <w:right w:val="single" w:color="000000" w:sz="4" w:space="0"/>
            </w:tcBorders>
            <w:vAlign w:val="center"/>
          </w:tcPr>
          <w:p w14:paraId="1BABD708">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right w:val="single" w:color="000000" w:sz="4" w:space="0"/>
            </w:tcBorders>
            <w:vAlign w:val="center"/>
          </w:tcPr>
          <w:p w14:paraId="4EEEBEEF">
            <w:pPr>
              <w:autoSpaceDN w:val="0"/>
              <w:jc w:val="center"/>
              <w:textAlignment w:val="center"/>
              <w:rPr>
                <w:rFonts w:ascii="仿宋" w:hAnsi="仿宋" w:eastAsia="仿宋"/>
                <w:color w:val="000000"/>
                <w:sz w:val="22"/>
              </w:rPr>
            </w:pPr>
            <w:r>
              <w:rPr>
                <w:rFonts w:hint="eastAsia" w:ascii="仿宋" w:hAnsi="仿宋" w:eastAsia="仿宋"/>
                <w:color w:val="000000"/>
                <w:sz w:val="22"/>
              </w:rPr>
              <w:t>加盖备案登记章，</w:t>
            </w:r>
            <w:r>
              <w:rPr>
                <w:rFonts w:ascii="仿宋" w:hAnsi="仿宋" w:eastAsia="仿宋"/>
                <w:color w:val="000000"/>
                <w:sz w:val="22"/>
              </w:rPr>
              <w:t>需加盖申请人单位公章</w:t>
            </w:r>
          </w:p>
        </w:tc>
      </w:tr>
      <w:tr w14:paraId="536F2CD8">
        <w:tblPrEx>
          <w:tblCellMar>
            <w:top w:w="0" w:type="dxa"/>
            <w:left w:w="0" w:type="dxa"/>
            <w:bottom w:w="0" w:type="dxa"/>
            <w:right w:w="0" w:type="dxa"/>
          </w:tblCellMar>
        </w:tblPrEx>
        <w:trPr>
          <w:trHeight w:val="81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171C020B">
            <w:pPr>
              <w:autoSpaceDN w:val="0"/>
              <w:jc w:val="center"/>
              <w:textAlignment w:val="center"/>
              <w:rPr>
                <w:rFonts w:ascii="仿宋" w:hAnsi="仿宋" w:eastAsia="仿宋"/>
                <w:color w:val="000000"/>
                <w:sz w:val="22"/>
              </w:rPr>
            </w:pPr>
            <w:r>
              <w:rPr>
                <w:rFonts w:hint="eastAsia" w:ascii="仿宋" w:hAnsi="仿宋" w:eastAsia="仿宋"/>
                <w:color w:val="000000"/>
                <w:sz w:val="22"/>
              </w:rPr>
              <w:t>9</w:t>
            </w:r>
          </w:p>
        </w:tc>
        <w:tc>
          <w:tcPr>
            <w:tcW w:w="1095" w:type="dxa"/>
            <w:tcBorders>
              <w:top w:val="single" w:color="000000" w:sz="4" w:space="0"/>
              <w:left w:val="single" w:color="000000" w:sz="4" w:space="0"/>
              <w:bottom w:val="single" w:color="000000" w:sz="4" w:space="0"/>
              <w:right w:val="single" w:color="000000" w:sz="4" w:space="0"/>
            </w:tcBorders>
            <w:vAlign w:val="center"/>
          </w:tcPr>
          <w:p w14:paraId="1C62830A">
            <w:pPr>
              <w:autoSpaceDN w:val="0"/>
              <w:jc w:val="center"/>
              <w:textAlignment w:val="center"/>
              <w:rPr>
                <w:rFonts w:ascii="仿宋" w:hAnsi="仿宋" w:eastAsia="仿宋"/>
                <w:color w:val="000000"/>
                <w:sz w:val="22"/>
              </w:rPr>
            </w:pPr>
            <w:r>
              <w:rPr>
                <w:rFonts w:hint="eastAsia" w:ascii="仿宋" w:hAnsi="仿宋" w:eastAsia="仿宋"/>
                <w:color w:val="000000"/>
                <w:sz w:val="22"/>
              </w:rPr>
              <w:t>其他证明材料</w:t>
            </w:r>
          </w:p>
        </w:tc>
        <w:tc>
          <w:tcPr>
            <w:tcW w:w="715" w:type="dxa"/>
            <w:tcBorders>
              <w:top w:val="single" w:color="000000" w:sz="4" w:space="0"/>
              <w:left w:val="single" w:color="000000" w:sz="4" w:space="0"/>
              <w:bottom w:val="single" w:color="000000" w:sz="4" w:space="0"/>
              <w:right w:val="single" w:color="000000" w:sz="4" w:space="0"/>
            </w:tcBorders>
            <w:vAlign w:val="center"/>
          </w:tcPr>
          <w:p w14:paraId="54CF1072">
            <w:pPr>
              <w:autoSpaceDN w:val="0"/>
              <w:jc w:val="center"/>
              <w:textAlignment w:val="center"/>
              <w:rPr>
                <w:rFonts w:ascii="仿宋" w:hAnsi="仿宋" w:eastAsia="仿宋"/>
                <w:color w:val="000000"/>
                <w:sz w:val="22"/>
              </w:rPr>
            </w:pPr>
            <w:r>
              <w:rPr>
                <w:rFonts w:hint="eastAsia" w:ascii="仿宋" w:hAnsi="仿宋" w:eastAsia="仿宋"/>
                <w:color w:val="000000"/>
                <w:sz w:val="22"/>
              </w:rPr>
              <w:t>原</w:t>
            </w:r>
            <w:r>
              <w:rPr>
                <w:rFonts w:ascii="仿宋" w:hAnsi="仿宋" w:eastAsia="仿宋"/>
                <w:color w:val="000000"/>
                <w:sz w:val="22"/>
              </w:rPr>
              <w:t>件</w:t>
            </w:r>
          </w:p>
        </w:tc>
        <w:tc>
          <w:tcPr>
            <w:tcW w:w="652" w:type="dxa"/>
            <w:tcBorders>
              <w:top w:val="single" w:color="000000" w:sz="4" w:space="0"/>
              <w:left w:val="single" w:color="000000" w:sz="4" w:space="0"/>
              <w:bottom w:val="single" w:color="000000" w:sz="4" w:space="0"/>
              <w:right w:val="single" w:color="000000" w:sz="4" w:space="0"/>
            </w:tcBorders>
            <w:vAlign w:val="center"/>
          </w:tcPr>
          <w:p w14:paraId="1EFDEDC9">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2110" w:type="dxa"/>
            <w:tcBorders>
              <w:top w:val="single" w:color="000000" w:sz="4" w:space="0"/>
              <w:left w:val="single" w:color="000000" w:sz="4" w:space="0"/>
              <w:bottom w:val="single" w:color="000000" w:sz="4" w:space="0"/>
              <w:right w:val="single" w:color="000000" w:sz="4" w:space="0"/>
            </w:tcBorders>
            <w:vAlign w:val="center"/>
          </w:tcPr>
          <w:p w14:paraId="3EED252B">
            <w:pPr>
              <w:autoSpaceDN w:val="0"/>
              <w:jc w:val="center"/>
              <w:textAlignment w:val="center"/>
              <w:rPr>
                <w:rFonts w:ascii="仿宋" w:hAnsi="仿宋" w:eastAsia="仿宋"/>
                <w:color w:val="000000"/>
                <w:sz w:val="22"/>
              </w:rPr>
            </w:pPr>
            <w:r>
              <w:rPr>
                <w:rFonts w:hint="eastAsia" w:ascii="仿宋" w:hAnsi="仿宋" w:eastAsia="仿宋"/>
                <w:color w:val="000000"/>
                <w:sz w:val="22"/>
              </w:rPr>
              <w:t>从事外贸经营的企业提交适用海关认证企业管理的有关证明材料；教育机构、科学研究机构提交承担国家科研项目、重点课题证明材料。</w:t>
            </w:r>
          </w:p>
        </w:tc>
        <w:tc>
          <w:tcPr>
            <w:tcW w:w="951" w:type="dxa"/>
            <w:tcBorders>
              <w:top w:val="single" w:color="000000" w:sz="4" w:space="0"/>
              <w:left w:val="single" w:color="000000" w:sz="4" w:space="0"/>
              <w:bottom w:val="single" w:color="000000" w:sz="4" w:space="0"/>
              <w:right w:val="single" w:color="000000" w:sz="4" w:space="0"/>
            </w:tcBorders>
            <w:vAlign w:val="center"/>
          </w:tcPr>
          <w:p w14:paraId="2FD0CF21">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vAlign w:val="center"/>
          </w:tcPr>
          <w:p w14:paraId="71EDF3F7">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14:paraId="6F5DF2DB">
        <w:tblPrEx>
          <w:tblCellMar>
            <w:top w:w="0" w:type="dxa"/>
            <w:left w:w="0" w:type="dxa"/>
            <w:bottom w:w="0" w:type="dxa"/>
            <w:right w:w="0" w:type="dxa"/>
          </w:tblCellMar>
        </w:tblPrEx>
        <w:trPr>
          <w:trHeight w:val="1267"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0A497E55">
            <w:pPr>
              <w:autoSpaceDN w:val="0"/>
              <w:jc w:val="center"/>
              <w:textAlignment w:val="center"/>
              <w:rPr>
                <w:rFonts w:ascii="仿宋" w:hAnsi="仿宋" w:eastAsia="仿宋"/>
                <w:color w:val="000000"/>
                <w:sz w:val="22"/>
              </w:rPr>
            </w:pPr>
            <w:r>
              <w:rPr>
                <w:rFonts w:hint="eastAsia" w:ascii="仿宋" w:hAnsi="仿宋" w:eastAsia="仿宋"/>
                <w:color w:val="000000"/>
                <w:sz w:val="22"/>
              </w:rPr>
              <w:t>10</w:t>
            </w:r>
          </w:p>
        </w:tc>
        <w:tc>
          <w:tcPr>
            <w:tcW w:w="1095" w:type="dxa"/>
            <w:tcBorders>
              <w:top w:val="single" w:color="000000" w:sz="4" w:space="0"/>
              <w:left w:val="single" w:color="000000" w:sz="4" w:space="0"/>
              <w:bottom w:val="single" w:color="000000" w:sz="4" w:space="0"/>
              <w:right w:val="single" w:color="000000" w:sz="4" w:space="0"/>
            </w:tcBorders>
            <w:vAlign w:val="center"/>
          </w:tcPr>
          <w:p w14:paraId="3B892576">
            <w:pPr>
              <w:tabs>
                <w:tab w:val="left" w:pos="480"/>
              </w:tabs>
              <w:autoSpaceDN w:val="0"/>
              <w:jc w:val="center"/>
              <w:textAlignment w:val="center"/>
              <w:rPr>
                <w:rFonts w:ascii="仿宋" w:hAnsi="仿宋" w:eastAsia="仿宋"/>
                <w:color w:val="000000"/>
                <w:sz w:val="22"/>
              </w:rPr>
            </w:pPr>
            <w:r>
              <w:rPr>
                <w:rFonts w:hint="eastAsia" w:ascii="仿宋" w:hAnsi="仿宋" w:eastAsia="仿宋"/>
                <w:color w:val="000000"/>
                <w:sz w:val="22"/>
              </w:rPr>
              <w:t>增值税发票</w:t>
            </w:r>
          </w:p>
        </w:tc>
        <w:tc>
          <w:tcPr>
            <w:tcW w:w="715" w:type="dxa"/>
            <w:tcBorders>
              <w:top w:val="single" w:color="000000" w:sz="4" w:space="0"/>
              <w:left w:val="single" w:color="000000" w:sz="4" w:space="0"/>
              <w:bottom w:val="single" w:color="000000" w:sz="4" w:space="0"/>
              <w:right w:val="single" w:color="000000" w:sz="4" w:space="0"/>
            </w:tcBorders>
            <w:vAlign w:val="center"/>
          </w:tcPr>
          <w:p w14:paraId="34770274">
            <w:pPr>
              <w:autoSpaceDN w:val="0"/>
              <w:jc w:val="center"/>
              <w:textAlignment w:val="center"/>
              <w:rPr>
                <w:rFonts w:ascii="仿宋" w:hAnsi="仿宋" w:eastAsia="仿宋"/>
                <w:color w:val="000000"/>
                <w:sz w:val="22"/>
              </w:rPr>
            </w:pPr>
            <w:r>
              <w:rPr>
                <w:rFonts w:hint="eastAsia" w:ascii="仿宋" w:hAnsi="仿宋" w:eastAsia="仿宋"/>
                <w:color w:val="000000"/>
                <w:sz w:val="22"/>
              </w:rPr>
              <w:t>原</w:t>
            </w:r>
            <w:r>
              <w:rPr>
                <w:rFonts w:ascii="仿宋" w:hAnsi="仿宋" w:eastAsia="仿宋"/>
                <w:color w:val="000000"/>
                <w:sz w:val="22"/>
              </w:rPr>
              <w:t>件</w:t>
            </w:r>
          </w:p>
        </w:tc>
        <w:tc>
          <w:tcPr>
            <w:tcW w:w="652" w:type="dxa"/>
            <w:tcBorders>
              <w:top w:val="single" w:color="000000" w:sz="4" w:space="0"/>
              <w:left w:val="single" w:color="000000" w:sz="4" w:space="0"/>
              <w:bottom w:val="single" w:color="000000" w:sz="4" w:space="0"/>
              <w:right w:val="single" w:color="000000" w:sz="4" w:space="0"/>
            </w:tcBorders>
            <w:vAlign w:val="center"/>
          </w:tcPr>
          <w:p w14:paraId="4B60F480">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2110" w:type="dxa"/>
            <w:tcBorders>
              <w:top w:val="single" w:color="000000" w:sz="4" w:space="0"/>
              <w:left w:val="single" w:color="000000" w:sz="4" w:space="0"/>
              <w:bottom w:val="single" w:color="000000" w:sz="4" w:space="0"/>
              <w:right w:val="single" w:color="000000" w:sz="4" w:space="0"/>
            </w:tcBorders>
            <w:vAlign w:val="center"/>
          </w:tcPr>
          <w:p w14:paraId="4AF461ED">
            <w:pPr>
              <w:autoSpaceDN w:val="0"/>
              <w:jc w:val="center"/>
              <w:textAlignment w:val="center"/>
              <w:rPr>
                <w:rFonts w:ascii="仿宋" w:hAnsi="仿宋" w:eastAsia="仿宋"/>
                <w:color w:val="000000"/>
                <w:sz w:val="22"/>
              </w:rPr>
            </w:pPr>
            <w:r>
              <w:rPr>
                <w:rFonts w:hint="eastAsia" w:ascii="仿宋" w:hAnsi="仿宋" w:eastAsia="仿宋"/>
                <w:color w:val="000000"/>
                <w:sz w:val="22"/>
              </w:rPr>
              <w:t>出口黄金制品的企业提交在国内取得黄金原料的增值税发票等有关证明材料。</w:t>
            </w:r>
          </w:p>
        </w:tc>
        <w:tc>
          <w:tcPr>
            <w:tcW w:w="951" w:type="dxa"/>
            <w:tcBorders>
              <w:top w:val="single" w:color="000000" w:sz="4" w:space="0"/>
              <w:left w:val="single" w:color="000000" w:sz="4" w:space="0"/>
              <w:bottom w:val="single" w:color="000000" w:sz="4" w:space="0"/>
              <w:right w:val="single" w:color="000000" w:sz="4" w:space="0"/>
            </w:tcBorders>
            <w:vAlign w:val="center"/>
          </w:tcPr>
          <w:p w14:paraId="47C445B6">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黄金制品出口</w:t>
            </w:r>
          </w:p>
        </w:tc>
        <w:tc>
          <w:tcPr>
            <w:tcW w:w="1953" w:type="dxa"/>
            <w:tcBorders>
              <w:top w:val="single" w:color="000000" w:sz="4" w:space="0"/>
              <w:left w:val="single" w:color="000000" w:sz="4" w:space="0"/>
              <w:bottom w:val="single" w:color="000000" w:sz="4" w:space="0"/>
              <w:right w:val="single" w:color="000000" w:sz="4" w:space="0"/>
            </w:tcBorders>
            <w:vAlign w:val="center"/>
          </w:tcPr>
          <w:p w14:paraId="021C341B">
            <w:pPr>
              <w:autoSpaceDN w:val="0"/>
              <w:jc w:val="center"/>
              <w:textAlignment w:val="center"/>
              <w:rPr>
                <w:rFonts w:ascii="仿宋" w:hAnsi="仿宋" w:eastAsia="仿宋"/>
                <w:color w:val="000000"/>
                <w:sz w:val="22"/>
              </w:rPr>
            </w:pPr>
            <w:r>
              <w:rPr>
                <w:rFonts w:ascii="仿宋" w:hAnsi="仿宋" w:eastAsia="仿宋"/>
                <w:color w:val="000000"/>
                <w:sz w:val="22"/>
              </w:rPr>
              <w:t>税务机关开具的纳税发票，需加盖申请人单位公章</w:t>
            </w:r>
          </w:p>
        </w:tc>
      </w:tr>
      <w:tr w14:paraId="16320677">
        <w:tblPrEx>
          <w:tblCellMar>
            <w:top w:w="0" w:type="dxa"/>
            <w:left w:w="0" w:type="dxa"/>
            <w:bottom w:w="0" w:type="dxa"/>
            <w:right w:w="0" w:type="dxa"/>
          </w:tblCellMar>
        </w:tblPrEx>
        <w:trPr>
          <w:trHeight w:val="1267"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39A87A0F">
            <w:pPr>
              <w:autoSpaceDN w:val="0"/>
              <w:jc w:val="center"/>
              <w:textAlignment w:val="center"/>
              <w:rPr>
                <w:rFonts w:ascii="仿宋" w:hAnsi="仿宋" w:eastAsia="仿宋"/>
                <w:color w:val="000000"/>
                <w:sz w:val="22"/>
              </w:rPr>
            </w:pPr>
            <w:r>
              <w:rPr>
                <w:rFonts w:hint="eastAsia" w:ascii="仿宋" w:hAnsi="仿宋" w:eastAsia="仿宋"/>
                <w:color w:val="000000"/>
                <w:sz w:val="22"/>
              </w:rPr>
              <w:t>11</w:t>
            </w:r>
          </w:p>
        </w:tc>
        <w:tc>
          <w:tcPr>
            <w:tcW w:w="1095" w:type="dxa"/>
            <w:tcBorders>
              <w:top w:val="single" w:color="000000" w:sz="4" w:space="0"/>
              <w:left w:val="single" w:color="000000" w:sz="4" w:space="0"/>
              <w:bottom w:val="single" w:color="000000" w:sz="4" w:space="0"/>
              <w:right w:val="single" w:color="000000" w:sz="4" w:space="0"/>
            </w:tcBorders>
            <w:vAlign w:val="center"/>
          </w:tcPr>
          <w:p w14:paraId="3326E864">
            <w:pPr>
              <w:tabs>
                <w:tab w:val="left" w:pos="480"/>
              </w:tabs>
              <w:autoSpaceDN w:val="0"/>
              <w:jc w:val="center"/>
              <w:textAlignment w:val="center"/>
              <w:rPr>
                <w:rFonts w:ascii="仿宋" w:hAnsi="仿宋" w:eastAsia="仿宋"/>
                <w:color w:val="000000"/>
                <w:sz w:val="22"/>
              </w:rPr>
            </w:pPr>
            <w:r>
              <w:rPr>
                <w:rFonts w:hint="eastAsia" w:ascii="仿宋" w:hAnsi="仿宋" w:eastAsia="仿宋"/>
                <w:color w:val="000000"/>
                <w:sz w:val="22"/>
              </w:rPr>
              <w:t>转内销的说明材料、加工贸易业务批准证复印件、加工贸易合同</w:t>
            </w:r>
          </w:p>
        </w:tc>
        <w:tc>
          <w:tcPr>
            <w:tcW w:w="715" w:type="dxa"/>
            <w:tcBorders>
              <w:top w:val="single" w:color="000000" w:sz="4" w:space="0"/>
              <w:left w:val="single" w:color="000000" w:sz="4" w:space="0"/>
              <w:bottom w:val="single" w:color="000000" w:sz="4" w:space="0"/>
              <w:right w:val="single" w:color="000000" w:sz="4" w:space="0"/>
            </w:tcBorders>
            <w:vAlign w:val="center"/>
          </w:tcPr>
          <w:p w14:paraId="58AD60DF">
            <w:pPr>
              <w:autoSpaceDN w:val="0"/>
              <w:jc w:val="center"/>
              <w:textAlignment w:val="center"/>
              <w:rPr>
                <w:rFonts w:ascii="仿宋" w:hAnsi="仿宋" w:eastAsia="仿宋"/>
                <w:color w:val="000000"/>
                <w:sz w:val="22"/>
              </w:rPr>
            </w:pPr>
            <w:r>
              <w:rPr>
                <w:rFonts w:hint="eastAsia" w:ascii="仿宋" w:hAnsi="仿宋" w:eastAsia="仿宋"/>
                <w:color w:val="000000"/>
                <w:sz w:val="22"/>
              </w:rPr>
              <w:t>原</w:t>
            </w:r>
            <w:r>
              <w:rPr>
                <w:rFonts w:ascii="仿宋" w:hAnsi="仿宋" w:eastAsia="仿宋"/>
                <w:color w:val="000000"/>
                <w:sz w:val="22"/>
              </w:rPr>
              <w:t>件</w:t>
            </w:r>
          </w:p>
        </w:tc>
        <w:tc>
          <w:tcPr>
            <w:tcW w:w="652" w:type="dxa"/>
            <w:tcBorders>
              <w:top w:val="single" w:color="000000" w:sz="4" w:space="0"/>
              <w:left w:val="single" w:color="000000" w:sz="4" w:space="0"/>
              <w:bottom w:val="single" w:color="000000" w:sz="4" w:space="0"/>
              <w:right w:val="single" w:color="000000" w:sz="4" w:space="0"/>
            </w:tcBorders>
            <w:vAlign w:val="center"/>
          </w:tcPr>
          <w:p w14:paraId="01F1C291">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2110" w:type="dxa"/>
            <w:tcBorders>
              <w:top w:val="single" w:color="000000" w:sz="4" w:space="0"/>
              <w:left w:val="single" w:color="000000" w:sz="4" w:space="0"/>
              <w:bottom w:val="single" w:color="000000" w:sz="4" w:space="0"/>
              <w:right w:val="single" w:color="000000" w:sz="4" w:space="0"/>
            </w:tcBorders>
            <w:vAlign w:val="center"/>
          </w:tcPr>
          <w:p w14:paraId="31213CAD">
            <w:pPr>
              <w:autoSpaceDN w:val="0"/>
              <w:jc w:val="center"/>
              <w:textAlignment w:val="center"/>
              <w:rPr>
                <w:rFonts w:ascii="仿宋" w:hAnsi="仿宋" w:eastAsia="仿宋"/>
                <w:color w:val="000000"/>
                <w:sz w:val="22"/>
              </w:rPr>
            </w:pPr>
            <w:r>
              <w:rPr>
                <w:rFonts w:hint="eastAsia" w:ascii="仿宋" w:hAnsi="仿宋" w:eastAsia="仿宋"/>
                <w:color w:val="000000"/>
                <w:sz w:val="22"/>
              </w:rPr>
              <w:t>因加工贸易转内销的，应按照《黄金及黄金制品进出口管理办法》第十一条规定报送</w:t>
            </w:r>
          </w:p>
        </w:tc>
        <w:tc>
          <w:tcPr>
            <w:tcW w:w="951" w:type="dxa"/>
            <w:tcBorders>
              <w:top w:val="single" w:color="000000" w:sz="4" w:space="0"/>
              <w:left w:val="single" w:color="000000" w:sz="4" w:space="0"/>
              <w:bottom w:val="single" w:color="000000" w:sz="4" w:space="0"/>
              <w:right w:val="single" w:color="000000" w:sz="4" w:space="0"/>
            </w:tcBorders>
            <w:vAlign w:val="center"/>
          </w:tcPr>
          <w:p w14:paraId="5BBFB91B">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黄金制品进口</w:t>
            </w:r>
          </w:p>
        </w:tc>
        <w:tc>
          <w:tcPr>
            <w:tcW w:w="1953" w:type="dxa"/>
            <w:tcBorders>
              <w:top w:val="single" w:color="000000" w:sz="4" w:space="0"/>
              <w:left w:val="single" w:color="000000" w:sz="4" w:space="0"/>
              <w:bottom w:val="single" w:color="000000" w:sz="4" w:space="0"/>
              <w:right w:val="single" w:color="000000" w:sz="4" w:space="0"/>
            </w:tcBorders>
            <w:vAlign w:val="center"/>
          </w:tcPr>
          <w:p w14:paraId="47EC8852">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bl>
    <w:p w14:paraId="49BA9CB3">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向受理机构货币金银部门现场提交或以邮寄方式提交上述纸质申请材料，也可通过中国国际贸易“单一窗口”黄金及黄金制品进出口准许证系统（以下简称“单一窗口”系统），网上提交上述纸质申请材料扫描后的PDF格式文件。</w:t>
      </w:r>
    </w:p>
    <w:p w14:paraId="2BDC0FE8">
      <w:pPr>
        <w:ind w:firstLine="640" w:firstLineChars="200"/>
        <w:jc w:val="both"/>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十一、申请接收</w:t>
      </w:r>
    </w:p>
    <w:p w14:paraId="58BDEDF3">
      <w:pPr>
        <w:ind w:left="420" w:leftChars="200"/>
        <w:jc w:val="both"/>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（一）现场或信函接收</w:t>
      </w:r>
    </w:p>
    <w:p w14:paraId="0CEABDEA">
      <w:pPr>
        <w:ind w:firstLine="600"/>
        <w:jc w:val="both"/>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黄金制品进出口申请材料由中国人民银行</w:t>
      </w:r>
      <w:r>
        <w:rPr>
          <w:rFonts w:hint="eastAsia" w:ascii="仿宋_GB2312" w:hAnsi="仿宋_GB2312" w:eastAsia="仿宋_GB2312" w:cs="仿宋_GB2312"/>
          <w:sz w:val="32"/>
          <w:szCs w:val="32"/>
          <w:lang w:eastAsia="zh-CN"/>
        </w:rPr>
        <w:t>临夏州</w:t>
      </w:r>
      <w:r>
        <w:rPr>
          <w:rFonts w:hint="eastAsia" w:ascii="仿宋_GB2312" w:hAnsi="仿宋_GB2312" w:eastAsia="仿宋_GB2312" w:cs="仿宋_GB2312"/>
          <w:sz w:val="32"/>
          <w:szCs w:val="32"/>
          <w:lang w:val="en-US" w:eastAsia="zh-CN"/>
        </w:rPr>
        <w:t>分行</w:t>
      </w:r>
      <w:r>
        <w:rPr>
          <w:rFonts w:hint="eastAsia" w:ascii="仿宋_GB2312" w:hAnsi="仿宋_GB2312" w:eastAsia="仿宋_GB2312" w:cs="仿宋_GB2312"/>
          <w:sz w:val="32"/>
          <w:szCs w:val="32"/>
        </w:rPr>
        <w:t>货币金银</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现场或信函接收。</w:t>
      </w:r>
    </w:p>
    <w:p w14:paraId="2CCCFF6C">
      <w:pPr>
        <w:ind w:firstLine="640" w:firstLineChars="200"/>
        <w:jc w:val="both"/>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sz w:val="32"/>
          <w:szCs w:val="32"/>
          <w:lang w:eastAsia="zh-CN"/>
        </w:rPr>
        <w:t>办公</w:t>
      </w:r>
      <w:r>
        <w:rPr>
          <w:rFonts w:hint="eastAsia" w:ascii="仿宋_GB2312" w:hAnsi="仿宋_GB2312" w:eastAsia="仿宋_GB2312" w:cs="仿宋_GB2312"/>
          <w:b w:val="0"/>
          <w:bCs w:val="0"/>
          <w:sz w:val="32"/>
          <w:szCs w:val="32"/>
        </w:rPr>
        <w:t>地址</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sz w:val="32"/>
          <w:szCs w:val="32"/>
          <w:lang w:eastAsia="zh-CN"/>
        </w:rPr>
        <w:t>中国人民银行临夏州</w:t>
      </w:r>
      <w:r>
        <w:rPr>
          <w:rFonts w:hint="eastAsia" w:ascii="仿宋_GB2312" w:hAnsi="仿宋_GB2312" w:eastAsia="仿宋_GB2312" w:cs="仿宋_GB2312"/>
          <w:b w:val="0"/>
          <w:bCs w:val="0"/>
          <w:sz w:val="32"/>
          <w:szCs w:val="32"/>
          <w:lang w:val="en-US" w:eastAsia="zh-CN"/>
        </w:rPr>
        <w:t>分行</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306</w:t>
      </w:r>
      <w:r>
        <w:rPr>
          <w:rFonts w:hint="eastAsia" w:ascii="仿宋_GB2312" w:hAnsi="仿宋_GB2312" w:eastAsia="仿宋_GB2312" w:cs="仿宋_GB2312"/>
          <w:b w:val="0"/>
          <w:bCs w:val="0"/>
          <w:color w:val="000000" w:themeColor="text1"/>
          <w:sz w:val="32"/>
          <w:szCs w:val="32"/>
          <w14:textFill>
            <w14:solidFill>
              <w14:schemeClr w14:val="tx1"/>
            </w14:solidFill>
          </w14:textFill>
        </w:rPr>
        <w:t>室</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212F208F">
      <w:pPr>
        <w:ind w:firstLine="640" w:firstLineChars="200"/>
        <w:jc w:val="both"/>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sz w:val="32"/>
          <w:szCs w:val="32"/>
        </w:rPr>
        <w:t>办公时间</w:t>
      </w:r>
      <w:r>
        <w:rPr>
          <w:rFonts w:hint="eastAsia" w:ascii="仿宋_GB2312" w:hAnsi="仿宋_GB2312" w:eastAsia="仿宋_GB2312" w:cs="仿宋_GB2312"/>
          <w:b w:val="0"/>
          <w:bCs w:val="0"/>
          <w:color w:val="000000" w:themeColor="text1"/>
          <w:sz w:val="32"/>
          <w:szCs w:val="32"/>
          <w14:textFill>
            <w14:solidFill>
              <w14:schemeClr w14:val="tx1"/>
            </w14:solidFill>
          </w14:textFill>
        </w:rPr>
        <w:t>：工作日8:</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0-1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0，1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:30-1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0</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50DAD0C8">
      <w:pPr>
        <w:ind w:firstLine="600"/>
        <w:jc w:val="both"/>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信函地址</w:t>
      </w:r>
      <w:r>
        <w:rPr>
          <w:rFonts w:hint="eastAsia" w:ascii="国标黑体" w:hAnsi="国标黑体" w:eastAsia="国标黑体" w:cs="国标黑体"/>
          <w:b w:val="0"/>
          <w:bCs w:val="0"/>
          <w:sz w:val="32"/>
          <w:szCs w:val="32"/>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甘肃省临夏市北滨河东路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34号。</w:t>
      </w:r>
    </w:p>
    <w:p w14:paraId="22CB6AB9">
      <w:pPr>
        <w:ind w:firstLine="600"/>
        <w:jc w:val="both"/>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接收</w:t>
      </w:r>
      <w:r>
        <w:rPr>
          <w:rFonts w:hint="eastAsia" w:ascii="仿宋_GB2312" w:hAnsi="仿宋_GB2312" w:eastAsia="仿宋_GB2312" w:cs="仿宋_GB2312"/>
          <w:b w:val="0"/>
          <w:bCs w:val="0"/>
          <w:sz w:val="32"/>
          <w:szCs w:val="32"/>
          <w:lang w:eastAsia="zh-CN"/>
        </w:rPr>
        <w:t>部门：中国人民银行临夏州</w:t>
      </w:r>
      <w:r>
        <w:rPr>
          <w:rFonts w:hint="eastAsia" w:ascii="仿宋_GB2312" w:hAnsi="仿宋_GB2312" w:eastAsia="仿宋_GB2312" w:cs="仿宋_GB2312"/>
          <w:b w:val="0"/>
          <w:bCs w:val="0"/>
          <w:sz w:val="32"/>
          <w:szCs w:val="32"/>
          <w:lang w:val="en-US" w:eastAsia="zh-CN"/>
        </w:rPr>
        <w:t>分行</w:t>
      </w:r>
      <w:r>
        <w:rPr>
          <w:rFonts w:hint="eastAsia" w:ascii="仿宋_GB2312" w:hAnsi="仿宋_GB2312" w:eastAsia="仿宋_GB2312" w:cs="仿宋_GB2312"/>
          <w:b w:val="0"/>
          <w:bCs w:val="0"/>
          <w:sz w:val="32"/>
          <w:szCs w:val="32"/>
        </w:rPr>
        <w:t>货币金银</w:t>
      </w:r>
      <w:r>
        <w:rPr>
          <w:rFonts w:hint="eastAsia" w:ascii="仿宋_GB2312" w:hAnsi="仿宋_GB2312" w:eastAsia="仿宋_GB2312" w:cs="仿宋_GB2312"/>
          <w:b w:val="0"/>
          <w:bCs w:val="0"/>
          <w:sz w:val="32"/>
          <w:szCs w:val="32"/>
          <w:lang w:eastAsia="zh-CN"/>
        </w:rPr>
        <w:t>科。</w:t>
      </w:r>
    </w:p>
    <w:p w14:paraId="184CDFF5">
      <w:pPr>
        <w:ind w:firstLine="600"/>
        <w:jc w:val="both"/>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联系电话：09</w:t>
      </w:r>
      <w:r>
        <w:rPr>
          <w:rFonts w:hint="eastAsia" w:ascii="仿宋_GB2312" w:hAnsi="仿宋_GB2312"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6241048</w:t>
      </w:r>
      <w:r>
        <w:rPr>
          <w:rFonts w:hint="eastAsia" w:ascii="仿宋_GB2312" w:hAnsi="仿宋_GB2312" w:eastAsia="仿宋_GB2312" w:cs="仿宋_GB2312"/>
          <w:b w:val="0"/>
          <w:bCs w:val="0"/>
          <w:sz w:val="32"/>
          <w:szCs w:val="32"/>
        </w:rPr>
        <w:t>。</w:t>
      </w:r>
    </w:p>
    <w:p w14:paraId="7E008208">
      <w:pPr>
        <w:ind w:firstLine="600"/>
        <w:jc w:val="both"/>
        <w:outlineLvl w:val="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邮政编码：</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31100</w:t>
      </w:r>
      <w:r>
        <w:rPr>
          <w:rFonts w:hint="eastAsia" w:ascii="仿宋_GB2312" w:hAnsi="仿宋_GB2312" w:eastAsia="仿宋_GB2312" w:cs="仿宋_GB2312"/>
          <w:sz w:val="32"/>
          <w:szCs w:val="32"/>
        </w:rPr>
        <w:t>。</w:t>
      </w:r>
    </w:p>
    <w:p w14:paraId="1FCCE82D">
      <w:pPr>
        <w:ind w:firstLine="640" w:firstLineChars="200"/>
        <w:jc w:val="both"/>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（二）网上接收</w:t>
      </w:r>
    </w:p>
    <w:p w14:paraId="49D24371">
      <w:pPr>
        <w:keepNext w:val="0"/>
        <w:keepLines w:val="0"/>
        <w:pageBreakBefore w:val="0"/>
        <w:widowControl w:val="0"/>
        <w:kinsoku/>
        <w:wordWrap w:val="0"/>
        <w:overflowPunct/>
        <w:topLinePunct w:val="0"/>
        <w:autoSpaceDE/>
        <w:autoSpaceDN/>
        <w:bidi w:val="0"/>
        <w:adjustRightInd/>
        <w:snapToGrid/>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受理机构通过“单一窗口”系</w:t>
      </w:r>
      <w:r>
        <w:rPr>
          <w:rFonts w:hint="eastAsia" w:ascii="仿宋_GB2312" w:hAnsi="仿宋_GB2312" w:eastAsia="仿宋_GB2312" w:cs="仿宋_GB2312"/>
          <w:sz w:val="32"/>
          <w:szCs w:val="32"/>
          <w:lang w:eastAsia="zh-CN"/>
        </w:rPr>
        <w:t>同</w:t>
      </w:r>
      <w:r>
        <w:rPr>
          <w:rFonts w:hint="eastAsia" w:ascii="仿宋_GB2312" w:hAnsi="仿宋_GB2312" w:eastAsia="仿宋_GB2312" w:cs="仿宋_GB2312"/>
          <w:sz w:val="32"/>
          <w:szCs w:val="32"/>
        </w:rPr>
        <w:t>http://www.singlewindow.cn网上接收黄金制品进出口申请材料。网上申请和相关查询功能的操作详见“单一窗口”系统公示栏的《“单一窗口”标准版用户手册（黄金及黄金制品进出口准许证）》。</w:t>
      </w:r>
    </w:p>
    <w:p w14:paraId="1CF7AE84">
      <w:pPr>
        <w:ind w:firstLine="640" w:firstLineChars="200"/>
        <w:jc w:val="both"/>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十二、办理基本流程</w:t>
      </w:r>
    </w:p>
    <w:p w14:paraId="7C072F6E">
      <w:pPr>
        <w:widowControl/>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详见本服务指南附录1。</w:t>
      </w:r>
    </w:p>
    <w:p w14:paraId="59EA08BB">
      <w:pPr>
        <w:ind w:firstLine="640" w:firstLineChars="200"/>
        <w:jc w:val="both"/>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十三、办理方式</w:t>
      </w:r>
    </w:p>
    <w:p w14:paraId="72653F6F">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初次办理行政审批的办理方式为一般程序，包括申请、受理、审查与决定、文书制作与送达、结果公开。</w:t>
      </w:r>
    </w:p>
    <w:p w14:paraId="3B30AC9A">
      <w:pPr>
        <w:ind w:firstLine="640" w:firstLineChars="200"/>
        <w:jc w:val="both"/>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十四、办理时限</w:t>
      </w:r>
    </w:p>
    <w:p w14:paraId="012ED218">
      <w:pPr>
        <w:ind w:firstLine="640" w:firstLineChars="200"/>
        <w:jc w:val="both"/>
        <w:rPr>
          <w:rFonts w:hint="eastAsia" w:ascii="国标黑体" w:hAnsi="国标黑体" w:eastAsia="国标黑体" w:cs="国标黑体"/>
          <w:b w:val="0"/>
          <w:bCs w:val="0"/>
          <w:sz w:val="32"/>
          <w:szCs w:val="32"/>
          <w:lang w:val="en-US"/>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临夏州</w:t>
      </w:r>
      <w:r>
        <w:rPr>
          <w:rFonts w:hint="eastAsia" w:ascii="仿宋_GB2312" w:hAnsi="仿宋_GB2312" w:eastAsia="仿宋_GB2312" w:cs="仿宋_GB2312"/>
          <w:sz w:val="32"/>
          <w:szCs w:val="32"/>
          <w:lang w:val="en-US" w:eastAsia="zh-CN"/>
        </w:rPr>
        <w:t>分行</w:t>
      </w:r>
      <w:r>
        <w:rPr>
          <w:rFonts w:hint="eastAsia" w:ascii="仿宋_GB2312" w:hAnsi="仿宋_GB2312" w:eastAsia="仿宋_GB2312" w:cs="仿宋_GB2312"/>
          <w:sz w:val="32"/>
          <w:szCs w:val="32"/>
        </w:rPr>
        <w:t>自受理之日起</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个工作日内</w:t>
      </w:r>
      <w:r>
        <w:rPr>
          <w:rFonts w:hint="eastAsia" w:ascii="仿宋_GB2312" w:hAnsi="仿宋_GB2312" w:eastAsia="仿宋_GB2312" w:cs="仿宋_GB2312"/>
          <w:sz w:val="32"/>
          <w:szCs w:val="32"/>
          <w:lang w:eastAsia="zh-CN"/>
        </w:rPr>
        <w:t>将初步审查意见和全部申请材料直接报送中国人民银行甘肃省分行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中国人民银行甘肃省分行在收到初步审查意见和全部申请材料后</w:t>
      </w:r>
      <w:r>
        <w:rPr>
          <w:rFonts w:hint="eastAsia" w:ascii="仿宋_GB2312" w:hAnsi="仿宋_GB2312" w:eastAsia="仿宋_GB2312" w:cs="仿宋_GB2312"/>
          <w:sz w:val="32"/>
          <w:szCs w:val="32"/>
          <w:lang w:val="en-US" w:eastAsia="zh-CN"/>
        </w:rPr>
        <w:t>20个工作日做出行政许可决定。</w:t>
      </w:r>
    </w:p>
    <w:p w14:paraId="47487C8F">
      <w:pPr>
        <w:ind w:firstLine="640" w:firstLineChars="200"/>
        <w:jc w:val="both"/>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十五、收费依据及标准</w:t>
      </w:r>
    </w:p>
    <w:p w14:paraId="0193C1F8">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2D88F79A">
      <w:pPr>
        <w:ind w:firstLine="640" w:firstLineChars="200"/>
        <w:jc w:val="both"/>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十六、审批结果</w:t>
      </w:r>
    </w:p>
    <w:p w14:paraId="60BE2929">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《中国人民银行准予行政许可决定书》或《中国人民银行黄金及黄金制品进出口准许证》《中国人民银行</w:t>
      </w:r>
      <w:r>
        <w:rPr>
          <w:rFonts w:hint="eastAsia" w:ascii="仿宋_GB2312" w:hAnsi="仿宋_GB2312" w:eastAsia="仿宋_GB2312" w:cs="仿宋_GB2312"/>
          <w:sz w:val="32"/>
          <w:szCs w:val="32"/>
          <w:lang w:val="en-US" w:eastAsia="zh-CN"/>
        </w:rPr>
        <w:t>甘肃省分行</w:t>
      </w:r>
      <w:r>
        <w:rPr>
          <w:rFonts w:hint="eastAsia" w:ascii="仿宋_GB2312" w:hAnsi="仿宋_GB2312" w:eastAsia="仿宋_GB2312" w:cs="仿宋_GB2312"/>
          <w:sz w:val="32"/>
          <w:szCs w:val="32"/>
        </w:rPr>
        <w:t>不予行政许可决定书》。</w:t>
      </w:r>
    </w:p>
    <w:p w14:paraId="1F696C2C">
      <w:pPr>
        <w:ind w:firstLine="640" w:firstLineChars="200"/>
        <w:jc w:val="both"/>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十七、结果送达</w:t>
      </w:r>
    </w:p>
    <w:p w14:paraId="3AFC6906">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中国人民银行甘肃省分行</w:t>
      </w:r>
      <w:r>
        <w:rPr>
          <w:rFonts w:hint="eastAsia" w:ascii="仿宋_GB2312" w:hAnsi="仿宋_GB2312" w:eastAsia="仿宋_GB2312" w:cs="仿宋_GB2312"/>
          <w:sz w:val="32"/>
          <w:szCs w:val="32"/>
        </w:rPr>
        <w:t>自作出决定之日起</w:t>
      </w:r>
      <w:r>
        <w:rPr>
          <w:rFonts w:hint="eastAsia" w:ascii="仿宋_GB2312" w:eastAsia="仿宋_GB2312"/>
          <w:sz w:val="32"/>
          <w:szCs w:val="32"/>
          <w:lang w:val="en-US" w:eastAsia="zh-CN"/>
        </w:rPr>
        <w:t>10</w:t>
      </w:r>
      <w:r>
        <w:rPr>
          <w:rFonts w:hint="eastAsia" w:ascii="仿宋_GB2312" w:hAnsi="仿宋_GB2312" w:eastAsia="仿宋_GB2312" w:cs="仿宋_GB2312"/>
          <w:sz w:val="32"/>
          <w:szCs w:val="32"/>
        </w:rPr>
        <w:t>个工作日内向申请人送达《中国人民银行准予行政许可决定书》《中国人民银行黄金及黄金制品进出口准许证》或《中国人民银行</w:t>
      </w:r>
      <w:r>
        <w:rPr>
          <w:rFonts w:hint="eastAsia" w:ascii="仿宋_GB2312" w:hAnsi="仿宋_GB2312" w:eastAsia="仿宋_GB2312" w:cs="仿宋_GB2312"/>
          <w:sz w:val="32"/>
          <w:szCs w:val="32"/>
          <w:lang w:val="en-US" w:eastAsia="zh-CN"/>
        </w:rPr>
        <w:t>甘肃省分行</w:t>
      </w:r>
      <w:r>
        <w:rPr>
          <w:rFonts w:hint="eastAsia" w:ascii="仿宋_GB2312" w:hAnsi="仿宋_GB2312" w:eastAsia="仿宋_GB2312" w:cs="仿宋_GB2312"/>
          <w:sz w:val="32"/>
          <w:szCs w:val="32"/>
        </w:rPr>
        <w:t>不予行政许可决定书》。</w:t>
      </w:r>
    </w:p>
    <w:p w14:paraId="7207EF87">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对于受理、不受理、不予受理或者要求补正申请材料的通知应当及时告知申请人并向申请人说明情况。</w:t>
      </w:r>
    </w:p>
    <w:p w14:paraId="12CF14DC">
      <w:pPr>
        <w:ind w:firstLine="640" w:firstLineChars="200"/>
        <w:jc w:val="both"/>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十八、行政相对人权利和义务</w:t>
      </w:r>
    </w:p>
    <w:p w14:paraId="1D8A5DD5">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（一）依据《中国人民银行行政许可实施办法》，申请人享有以下权利：</w:t>
      </w:r>
    </w:p>
    <w:p w14:paraId="11F7168B">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1.委托代理人提出行政许可申请。</w:t>
      </w:r>
    </w:p>
    <w:p w14:paraId="48BC4666">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2.要求对公示内容予以说明、解释。</w:t>
      </w:r>
    </w:p>
    <w:p w14:paraId="653DBA8E">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3.就行政许可审查进行陈述、申辩、听证。</w:t>
      </w:r>
    </w:p>
    <w:p w14:paraId="5F0270DF">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（二）依据《中国人民银行行政许可实施办法》，申请人依法履行以下义务：</w:t>
      </w:r>
    </w:p>
    <w:p w14:paraId="37E0A3A9">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1.申请人申请行政许可，应当如实向行政机关提交有关材料和反映真实情况，并对其申请材料实质内容的真实性负责。</w:t>
      </w:r>
    </w:p>
    <w:p w14:paraId="0C6312FD">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2.中国人民银行</w:t>
      </w:r>
      <w:r>
        <w:rPr>
          <w:rFonts w:hint="eastAsia" w:ascii="仿宋_GB2312" w:hAnsi="仿宋_GB2312" w:eastAsia="仿宋_GB2312" w:cs="仿宋_GB2312"/>
          <w:sz w:val="32"/>
          <w:szCs w:val="32"/>
          <w:lang w:val="en-US" w:eastAsia="zh-CN"/>
        </w:rPr>
        <w:t>甘肃省分行</w:t>
      </w:r>
      <w:r>
        <w:rPr>
          <w:rFonts w:hint="eastAsia" w:ascii="仿宋_GB2312" w:hAnsi="仿宋_GB2312" w:eastAsia="仿宋_GB2312" w:cs="仿宋_GB2312"/>
          <w:sz w:val="32"/>
          <w:szCs w:val="32"/>
        </w:rPr>
        <w:t>依法对被许可人从事行政许可事项的活动进行监督检查时，可以要求被许可人提供从事行政许可事项活动情况的有关材料，有权对被许可人从事行政许可事项的活动进行现场检查。</w:t>
      </w:r>
    </w:p>
    <w:p w14:paraId="68FC70A0">
      <w:pPr>
        <w:ind w:firstLine="640" w:firstLineChars="200"/>
        <w:jc w:val="both"/>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十九、咨询途径</w:t>
      </w:r>
    </w:p>
    <w:p w14:paraId="0D574B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咨询地址：</w:t>
      </w:r>
      <w:r>
        <w:rPr>
          <w:rFonts w:hint="eastAsia" w:ascii="仿宋_GB2312" w:eastAsia="仿宋_GB2312"/>
          <w:sz w:val="32"/>
          <w:szCs w:val="32"/>
          <w:lang w:eastAsia="en-US"/>
        </w:rPr>
        <w:t>中国人民银行</w:t>
      </w:r>
      <w:r>
        <w:rPr>
          <w:rFonts w:hint="eastAsia" w:ascii="仿宋_GB2312" w:eastAsia="仿宋_GB2312"/>
          <w:sz w:val="32"/>
          <w:szCs w:val="32"/>
          <w:lang w:eastAsia="zh-CN"/>
        </w:rPr>
        <w:t>临夏州分行</w:t>
      </w:r>
      <w:r>
        <w:rPr>
          <w:rFonts w:hint="eastAsia" w:ascii="仿宋_GB2312" w:eastAsia="仿宋_GB2312"/>
          <w:sz w:val="32"/>
          <w:szCs w:val="32"/>
          <w:lang w:val="en-US" w:eastAsia="zh-CN"/>
        </w:rPr>
        <w:t>306办公室。</w:t>
      </w:r>
    </w:p>
    <w:p w14:paraId="7FD8F32B">
      <w:pPr>
        <w:ind w:firstLine="600"/>
        <w:jc w:val="both"/>
        <w:outlineLvl w:val="0"/>
        <w:rPr>
          <w:rFonts w:ascii="仿宋_GB2312" w:hAnsi="仿宋_GB2312" w:eastAsia="仿宋_GB2312" w:cs="仿宋_GB2312"/>
          <w:sz w:val="32"/>
          <w:szCs w:val="32"/>
        </w:rPr>
      </w:pPr>
      <w:r>
        <w:rPr>
          <w:rFonts w:hint="eastAsia" w:ascii="仿宋_GB2312" w:eastAsia="仿宋_GB2312"/>
          <w:sz w:val="32"/>
          <w:szCs w:val="32"/>
          <w:lang w:val="en-US" w:eastAsia="zh-CN"/>
        </w:rPr>
        <w:t>咨询电话：0930-6241048。</w:t>
      </w:r>
    </w:p>
    <w:p w14:paraId="65816FA3">
      <w:pPr>
        <w:ind w:firstLine="640" w:firstLineChars="200"/>
        <w:jc w:val="both"/>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二十、监督投诉渠道</w:t>
      </w:r>
    </w:p>
    <w:p w14:paraId="0CB3A968">
      <w:pPr>
        <w:ind w:firstLine="640" w:firstLineChars="200"/>
        <w:jc w:val="both"/>
        <w:rPr>
          <w:rFonts w:ascii="仿宋_GB2312" w:eastAsia="仿宋_GB2312"/>
          <w:sz w:val="32"/>
          <w:szCs w:val="32"/>
        </w:rPr>
      </w:pPr>
      <w:r>
        <w:rPr>
          <w:rFonts w:hint="eastAsia" w:ascii="仿宋_GB2312" w:eastAsia="仿宋_GB2312"/>
          <w:sz w:val="32"/>
          <w:szCs w:val="32"/>
        </w:rPr>
        <w:t>中国人民银行</w:t>
      </w:r>
      <w:r>
        <w:rPr>
          <w:rFonts w:hint="eastAsia" w:ascii="仿宋_GB2312" w:eastAsia="仿宋_GB2312"/>
          <w:sz w:val="32"/>
          <w:szCs w:val="32"/>
          <w:lang w:eastAsia="zh-CN"/>
        </w:rPr>
        <w:t>临夏州</w:t>
      </w:r>
      <w:r>
        <w:rPr>
          <w:rFonts w:hint="eastAsia" w:ascii="仿宋_GB2312" w:eastAsia="仿宋_GB2312"/>
          <w:sz w:val="32"/>
          <w:szCs w:val="32"/>
          <w:lang w:val="en-US" w:eastAsia="zh-CN"/>
        </w:rPr>
        <w:t>分行</w:t>
      </w:r>
      <w:r>
        <w:rPr>
          <w:rFonts w:hint="eastAsia" w:ascii="仿宋_GB2312" w:eastAsia="仿宋_GB2312"/>
          <w:sz w:val="32"/>
          <w:szCs w:val="32"/>
        </w:rPr>
        <w:t>法律事务部门对本行办理的行政许可事项进行监督检查。</w:t>
      </w:r>
    </w:p>
    <w:p w14:paraId="293D9574">
      <w:pPr>
        <w:ind w:firstLine="640" w:firstLineChars="200"/>
        <w:jc w:val="both"/>
        <w:rPr>
          <w:rFonts w:hint="eastAsia" w:ascii="仿宋_GB2312" w:eastAsia="仿宋_GB2312"/>
          <w:sz w:val="32"/>
          <w:szCs w:val="32"/>
          <w:lang w:eastAsia="zh-CN"/>
        </w:rPr>
      </w:pPr>
      <w:r>
        <w:rPr>
          <w:rFonts w:hint="eastAsia" w:ascii="仿宋_GB2312" w:eastAsia="仿宋_GB2312"/>
          <w:sz w:val="32"/>
          <w:szCs w:val="32"/>
        </w:rPr>
        <w:t>信函投诉：中国人民银行</w:t>
      </w:r>
      <w:r>
        <w:rPr>
          <w:rFonts w:hint="eastAsia" w:ascii="仿宋_GB2312" w:eastAsia="仿宋_GB2312"/>
          <w:sz w:val="32"/>
          <w:szCs w:val="32"/>
          <w:lang w:eastAsia="zh-CN"/>
        </w:rPr>
        <w:t>临夏州</w:t>
      </w:r>
      <w:r>
        <w:rPr>
          <w:rFonts w:hint="eastAsia" w:ascii="仿宋_GB2312" w:eastAsia="仿宋_GB2312"/>
          <w:sz w:val="32"/>
          <w:szCs w:val="32"/>
          <w:lang w:val="en-US" w:eastAsia="zh-CN"/>
        </w:rPr>
        <w:t>分行办公室</w:t>
      </w:r>
      <w:r>
        <w:rPr>
          <w:rFonts w:hint="eastAsia" w:ascii="仿宋_GB2312" w:eastAsia="仿宋_GB2312"/>
          <w:sz w:val="32"/>
          <w:szCs w:val="32"/>
          <w:lang w:eastAsia="zh-CN"/>
        </w:rPr>
        <w:t>。</w:t>
      </w:r>
    </w:p>
    <w:p w14:paraId="41126E32">
      <w:pPr>
        <w:ind w:firstLine="640" w:firstLineChars="200"/>
        <w:jc w:val="both"/>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eastAsia="仿宋_GB2312"/>
          <w:sz w:val="32"/>
          <w:szCs w:val="32"/>
        </w:rPr>
        <w:t>通讯地址：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甘肃省临夏市北滨河东路34号。</w:t>
      </w:r>
    </w:p>
    <w:p w14:paraId="6DB16130">
      <w:pPr>
        <w:ind w:firstLine="600"/>
        <w:jc w:val="both"/>
        <w:outlineLvl w:val="0"/>
        <w:rPr>
          <w:rFonts w:ascii="仿宋_GB2312" w:eastAsia="仿宋_GB2312"/>
          <w:sz w:val="32"/>
          <w:szCs w:val="32"/>
        </w:rPr>
      </w:pPr>
      <w:r>
        <w:rPr>
          <w:rFonts w:hint="eastAsia" w:ascii="仿宋_GB2312" w:eastAsia="仿宋_GB2312"/>
          <w:sz w:val="32"/>
          <w:szCs w:val="32"/>
        </w:rPr>
        <w:t>邮政编码：</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31100</w:t>
      </w:r>
      <w:r>
        <w:rPr>
          <w:rFonts w:hint="eastAsia" w:ascii="仿宋_GB2312" w:hAnsi="仿宋_GB2312" w:eastAsia="仿宋_GB2312" w:cs="仿宋_GB2312"/>
          <w:sz w:val="32"/>
          <w:szCs w:val="32"/>
        </w:rPr>
        <w:t>。</w:t>
      </w:r>
    </w:p>
    <w:p w14:paraId="54884BD0">
      <w:pPr>
        <w:ind w:firstLine="640" w:firstLineChars="200"/>
        <w:jc w:val="both"/>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二十一、办理进程和结果公开查询</w:t>
      </w:r>
    </w:p>
    <w:p w14:paraId="3E7F77C0">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采用现场或信函申请方式的，自受理之日起</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个工作日内，可通过电话等方式查询审批状态和结果。</w:t>
      </w:r>
    </w:p>
    <w:p w14:paraId="48DA870F">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采用线上申请方式的，可通过“单一窗口”系统查询办理进程和结果。</w:t>
      </w:r>
    </w:p>
    <w:p w14:paraId="093C1D0B">
      <w:pPr>
        <w:jc w:val="left"/>
        <w:rPr>
          <w:rFonts w:ascii="仿宋_GB2312" w:hAnsi="仿宋_GB2312" w:eastAsia="仿宋_GB2312" w:cs="仿宋_GB2312"/>
          <w:sz w:val="32"/>
          <w:szCs w:val="32"/>
        </w:rPr>
      </w:pPr>
    </w:p>
    <w:p w14:paraId="2CEAB63A">
      <w:pPr>
        <w:jc w:val="left"/>
        <w:rPr>
          <w:rFonts w:ascii="仿宋_GB2312" w:hAnsi="仿宋_GB2312" w:eastAsia="仿宋_GB2312" w:cs="仿宋_GB2312"/>
          <w:sz w:val="32"/>
          <w:szCs w:val="32"/>
        </w:rPr>
      </w:pPr>
    </w:p>
    <w:p w14:paraId="60CF5B5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附录：1.流程图</w:t>
      </w:r>
    </w:p>
    <w:p w14:paraId="3DA80B0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2.申请材料示范文本</w:t>
      </w:r>
    </w:p>
    <w:p w14:paraId="2B1E6AE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3.常见错误示例</w:t>
      </w:r>
    </w:p>
    <w:p w14:paraId="29624C8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4.常见问题回答</w:t>
      </w:r>
    </w:p>
    <w:p w14:paraId="01054BD4">
      <w:pPr>
        <w:jc w:val="left"/>
        <w:rPr>
          <w:rFonts w:ascii="仿宋_GB2312" w:hAnsi="仿宋_GB2312" w:eastAsia="仿宋_GB2312" w:cs="仿宋_GB2312"/>
          <w:sz w:val="30"/>
          <w:szCs w:val="30"/>
        </w:rPr>
        <w:sectPr>
          <w:footerReference r:id="rId3" w:type="default"/>
          <w:endnotePr>
            <w:numFmt w:val="decimal"/>
          </w:endnotePr>
          <w:pgSz w:w="11906" w:h="16838"/>
          <w:pgMar w:top="1440" w:right="1800" w:bottom="1440" w:left="1800" w:header="851" w:footer="992" w:gutter="0"/>
          <w:pgNumType w:fmt="decimalFullWidth"/>
          <w:cols w:space="720" w:num="1"/>
          <w:docGrid w:type="lines" w:linePitch="312" w:charSpace="0"/>
        </w:sectPr>
      </w:pPr>
    </w:p>
    <w:p w14:paraId="7FE13ADD">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附录1</w:t>
      </w:r>
    </w:p>
    <w:p w14:paraId="484CF26F">
      <w:pPr>
        <w:ind w:firstLine="723" w:firstLineChars="20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流程图</w:t>
      </w:r>
    </w:p>
    <w:p w14:paraId="009E7A76">
      <w:pPr>
        <w:ind w:firstLine="420" w:firstLineChars="200"/>
        <w:jc w:val="left"/>
        <w:rPr>
          <w:rFonts w:ascii="仿宋_GB2312" w:hAnsi="仿宋_GB2312" w:eastAsia="仿宋_GB2312" w:cs="仿宋_GB2312"/>
          <w:sz w:val="30"/>
          <w:szCs w:val="30"/>
        </w:rPr>
      </w:pPr>
      <w:r>
        <mc:AlternateContent>
          <mc:Choice Requires="wpg">
            <w:drawing>
              <wp:anchor distT="0" distB="0" distL="114300" distR="114300" simplePos="0" relativeHeight="251663360" behindDoc="0" locked="0" layoutInCell="1" allowOverlap="1">
                <wp:simplePos x="0" y="0"/>
                <wp:positionH relativeFrom="column">
                  <wp:posOffset>115570</wp:posOffset>
                </wp:positionH>
                <wp:positionV relativeFrom="paragraph">
                  <wp:posOffset>108585</wp:posOffset>
                </wp:positionV>
                <wp:extent cx="5585460" cy="7414260"/>
                <wp:effectExtent l="5080" t="4445" r="10160" b="10795"/>
                <wp:wrapNone/>
                <wp:docPr id="55" name="组合 55"/>
                <wp:cNvGraphicFramePr/>
                <a:graphic xmlns:a="http://schemas.openxmlformats.org/drawingml/2006/main">
                  <a:graphicData uri="http://schemas.microsoft.com/office/word/2010/wordprocessingGroup">
                    <wpg:wgp>
                      <wpg:cNvGrpSpPr/>
                      <wpg:grpSpPr>
                        <a:xfrm>
                          <a:off x="0" y="0"/>
                          <a:ext cx="5585460" cy="7414260"/>
                          <a:chOff x="0" y="0"/>
                          <a:chExt cx="8796" cy="11676"/>
                        </a:xfrm>
                      </wpg:grpSpPr>
                      <wps:wsp>
                        <wps:cNvPr id="26" name="直接连接符 26"/>
                        <wps:cNvCnPr/>
                        <wps:spPr>
                          <a:xfrm>
                            <a:off x="3200" y="1924"/>
                            <a:ext cx="1831" cy="1"/>
                          </a:xfrm>
                          <a:prstGeom prst="line">
                            <a:avLst/>
                          </a:prstGeom>
                          <a:ln w="3175" cap="flat" cmpd="sng">
                            <a:solidFill>
                              <a:srgbClr val="000000"/>
                            </a:solidFill>
                            <a:prstDash val="solid"/>
                            <a:headEnd type="none" w="med" len="med"/>
                            <a:tailEnd type="triangle" w="med" len="med"/>
                          </a:ln>
                        </wps:spPr>
                        <wps:bodyPr/>
                      </wps:wsp>
                      <wps:wsp>
                        <wps:cNvPr id="27" name="直接连接符 27"/>
                        <wps:cNvCnPr/>
                        <wps:spPr>
                          <a:xfrm>
                            <a:off x="3216" y="2516"/>
                            <a:ext cx="1831" cy="1"/>
                          </a:xfrm>
                          <a:prstGeom prst="line">
                            <a:avLst/>
                          </a:prstGeom>
                          <a:ln w="3175" cap="flat" cmpd="sng">
                            <a:solidFill>
                              <a:srgbClr val="000000"/>
                            </a:solidFill>
                            <a:prstDash val="solid"/>
                            <a:headEnd type="none" w="med" len="med"/>
                            <a:tailEnd type="triangle" w="med" len="med"/>
                          </a:ln>
                        </wps:spPr>
                        <wps:bodyPr/>
                      </wps:wsp>
                      <wps:wsp>
                        <wps:cNvPr id="28" name="直接连接符 28"/>
                        <wps:cNvCnPr/>
                        <wps:spPr>
                          <a:xfrm>
                            <a:off x="3216" y="3124"/>
                            <a:ext cx="1831" cy="1"/>
                          </a:xfrm>
                          <a:prstGeom prst="line">
                            <a:avLst/>
                          </a:prstGeom>
                          <a:ln w="3175" cap="flat" cmpd="sng">
                            <a:solidFill>
                              <a:srgbClr val="000000"/>
                            </a:solidFill>
                            <a:prstDash val="solid"/>
                            <a:headEnd type="none" w="med" len="med"/>
                            <a:tailEnd type="triangle" w="med" len="med"/>
                          </a:ln>
                        </wps:spPr>
                        <wps:bodyPr/>
                      </wps:wsp>
                      <wpg:grpSp>
                        <wpg:cNvPr id="54" name="组合 54"/>
                        <wpg:cNvGrpSpPr/>
                        <wpg:grpSpPr>
                          <a:xfrm>
                            <a:off x="0" y="0"/>
                            <a:ext cx="8796" cy="11676"/>
                            <a:chOff x="0" y="0"/>
                            <a:chExt cx="8796" cy="11676"/>
                          </a:xfrm>
                        </wpg:grpSpPr>
                        <wps:wsp>
                          <wps:cNvPr id="29" name="文本框 29"/>
                          <wps:cNvSpPr txBox="1"/>
                          <wps:spPr>
                            <a:xfrm>
                              <a:off x="463" y="1855"/>
                              <a:ext cx="2750" cy="13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79EBF1">
                                <w:pPr>
                                  <w:rPr>
                                    <w:rFonts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临夏州分行</w:t>
                                </w:r>
                                <w:r>
                                  <w:rPr>
                                    <w:rFonts w:hint="eastAsia" w:ascii="仿宋_GB2312" w:hAnsi="仿宋_GB2312" w:eastAsia="仿宋_GB2312" w:cs="仿宋_GB2312"/>
                                    <w:sz w:val="24"/>
                                  </w:rPr>
                                  <w:t>接件，并于5个工作日内做出审查决定</w:t>
                                </w:r>
                              </w:p>
                            </w:txbxContent>
                          </wps:txbx>
                          <wps:bodyPr lIns="91439" tIns="45719" rIns="91439" bIns="45719" upright="1"/>
                        </wps:wsp>
                        <wps:wsp>
                          <wps:cNvPr id="30" name="文本框 30"/>
                          <wps:cNvSpPr txBox="1"/>
                          <wps:spPr>
                            <a:xfrm>
                              <a:off x="1111" y="4031"/>
                              <a:ext cx="1668" cy="7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DE56C6">
                                <w:pPr>
                                  <w:jc w:val="center"/>
                                  <w:rPr>
                                    <w:rFonts w:ascii="仿宋_GB2312" w:hAnsi="仿宋_GB2312" w:eastAsia="仿宋_GB2312" w:cs="仿宋_GB2312"/>
                                    <w:sz w:val="24"/>
                                  </w:rPr>
                                </w:pPr>
                                <w:r>
                                  <w:rPr>
                                    <w:rFonts w:hint="eastAsia" w:ascii="仿宋_GB2312" w:hAnsi="仿宋_GB2312" w:eastAsia="仿宋_GB2312" w:cs="仿宋_GB2312"/>
                                    <w:sz w:val="24"/>
                                  </w:rPr>
                                  <w:t>受理，并进行审查</w:t>
                                </w:r>
                              </w:p>
                            </w:txbxContent>
                          </wps:txbx>
                          <wps:bodyPr upright="1"/>
                        </wps:wsp>
                        <wps:wsp>
                          <wps:cNvPr id="31" name="文本框 31"/>
                          <wps:cNvSpPr txBox="1"/>
                          <wps:spPr>
                            <a:xfrm>
                              <a:off x="4298" y="5661"/>
                              <a:ext cx="2918" cy="200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DEEB24">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临夏州分行</w:t>
                                </w:r>
                                <w:r>
                                  <w:rPr>
                                    <w:rFonts w:hint="eastAsia" w:ascii="仿宋_GB2312" w:hAnsi="仿宋_GB2312" w:eastAsia="仿宋_GB2312" w:cs="仿宋_GB2312"/>
                                    <w:sz w:val="24"/>
                                  </w:rPr>
                                  <w:t>自受理行政许可申请之日起20个工作日内将初步审查意见和全部申请材料直接报送上一级机构</w:t>
                                </w:r>
                              </w:p>
                            </w:txbxContent>
                          </wps:txbx>
                          <wps:bodyPr upright="1"/>
                        </wps:wsp>
                        <wps:wsp>
                          <wps:cNvPr id="32" name="文本框 32"/>
                          <wps:cNvSpPr txBox="1"/>
                          <wps:spPr>
                            <a:xfrm>
                              <a:off x="732" y="5622"/>
                              <a:ext cx="2435" cy="21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738019">
                                <w:pPr>
                                  <w:rPr>
                                    <w:rFonts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val="en-US" w:eastAsia="zh-CN"/>
                                  </w:rPr>
                                  <w:t>甘肃省分行</w:t>
                                </w:r>
                                <w:r>
                                  <w:rPr>
                                    <w:rFonts w:hint="eastAsia" w:ascii="仿宋_GB2312" w:hAnsi="仿宋_GB2312" w:eastAsia="仿宋_GB2312" w:cs="仿宋_GB2312"/>
                                    <w:sz w:val="24"/>
                                  </w:rPr>
                                  <w:t>自受理之日起20个工作日内做出行政许可决定</w:t>
                                </w:r>
                              </w:p>
                            </w:txbxContent>
                          </wps:txbx>
                          <wps:bodyPr upright="1"/>
                        </wps:wsp>
                        <wps:wsp>
                          <wps:cNvPr id="33" name="文本框 33"/>
                          <wps:cNvSpPr txBox="1"/>
                          <wps:spPr>
                            <a:xfrm>
                              <a:off x="0" y="8479"/>
                              <a:ext cx="3974" cy="173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286A1C">
                                <w:pPr>
                                  <w:rPr>
                                    <w:rFonts w:ascii="仿宋_GB2312" w:hAnsi="仿宋_GB2312" w:eastAsia="仿宋_GB2312" w:cs="仿宋_GB2312"/>
                                    <w:sz w:val="24"/>
                                  </w:rPr>
                                </w:pPr>
                                <w:r>
                                  <w:rPr>
                                    <w:rFonts w:hint="eastAsia" w:ascii="仿宋_GB2312" w:hAnsi="仿宋_GB2312" w:eastAsia="仿宋_GB2312" w:cs="仿宋_GB2312"/>
                                    <w:sz w:val="24"/>
                                  </w:rPr>
                                  <w:t>现场或信函申请的，通知申请人邮寄或现场领取审批结果</w:t>
                                </w:r>
                              </w:p>
                              <w:p w14:paraId="1FF0ADA7">
                                <w:pPr>
                                  <w:rPr>
                                    <w:rFonts w:ascii="仿宋_GB2312" w:hAnsi="仿宋_GB2312" w:eastAsia="仿宋_GB2312" w:cs="仿宋_GB2312"/>
                                    <w:sz w:val="24"/>
                                  </w:rPr>
                                </w:pPr>
                                <w:r>
                                  <w:rPr>
                                    <w:rFonts w:hint="eastAsia" w:ascii="仿宋_GB2312" w:hAnsi="仿宋_GB2312" w:eastAsia="仿宋_GB2312" w:cs="仿宋_GB2312"/>
                                    <w:sz w:val="24"/>
                                  </w:rPr>
                                  <w:t>线上申请的，申请人通过“单一窗口”系统“进出口申请查询”栏查看审批结果</w:t>
                                </w:r>
                              </w:p>
                            </w:txbxContent>
                          </wps:txbx>
                          <wps:bodyPr upright="1"/>
                        </wps:wsp>
                        <wps:wsp>
                          <wps:cNvPr id="34" name="文本框 34"/>
                          <wps:cNvSpPr txBox="1"/>
                          <wps:spPr>
                            <a:xfrm>
                              <a:off x="884" y="10890"/>
                              <a:ext cx="2062" cy="7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7461AC">
                                <w:pPr>
                                  <w:rPr>
                                    <w:rFonts w:ascii="仿宋_GB2312" w:hAnsi="仿宋_GB2312" w:eastAsia="仿宋_GB2312" w:cs="仿宋_GB2312"/>
                                    <w:sz w:val="24"/>
                                  </w:rPr>
                                </w:pPr>
                                <w:r>
                                  <w:rPr>
                                    <w:rFonts w:hint="eastAsia" w:ascii="仿宋_GB2312" w:hAnsi="仿宋_GB2312" w:eastAsia="仿宋_GB2312" w:cs="仿宋_GB2312"/>
                                    <w:sz w:val="24"/>
                                  </w:rPr>
                                  <w:t>申请人取得审批结果，办结</w:t>
                                </w:r>
                              </w:p>
                            </w:txbxContent>
                          </wps:txbx>
                          <wps:bodyPr upright="1"/>
                        </wps:wsp>
                        <wps:wsp>
                          <wps:cNvPr id="35" name="文本框 35"/>
                          <wps:cNvSpPr txBox="1"/>
                          <wps:spPr>
                            <a:xfrm>
                              <a:off x="720" y="0"/>
                              <a:ext cx="2511" cy="112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853FA9">
                                <w:pPr>
                                  <w:jc w:val="left"/>
                                  <w:rPr>
                                    <w:rFonts w:ascii="仿宋_GB2312" w:hAnsi="仿宋_GB2312" w:eastAsia="仿宋_GB2312" w:cs="仿宋_GB2312"/>
                                    <w:sz w:val="24"/>
                                  </w:rPr>
                                </w:pPr>
                                <w:r>
                                  <w:rPr>
                                    <w:rFonts w:hint="eastAsia" w:ascii="仿宋_GB2312" w:hAnsi="仿宋_GB2312" w:eastAsia="仿宋_GB2312" w:cs="仿宋_GB2312"/>
                                    <w:sz w:val="24"/>
                                  </w:rPr>
                                  <w:t>申请人通过现场、信函或“单一窗口”提出申请，并提交材料</w:t>
                                </w:r>
                              </w:p>
                            </w:txbxContent>
                          </wps:txbx>
                          <wps:bodyPr upright="1"/>
                        </wps:wsp>
                        <wps:wsp>
                          <wps:cNvPr id="36" name="文本框 36"/>
                          <wps:cNvSpPr txBox="1"/>
                          <wps:spPr>
                            <a:xfrm>
                              <a:off x="5425" y="400"/>
                              <a:ext cx="2026" cy="48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78981F">
                                <w:pPr>
                                  <w:rPr>
                                    <w:rFonts w:ascii="仿宋_GB2312" w:hAnsi="仿宋_GB2312" w:eastAsia="仿宋_GB2312" w:cs="仿宋_GB2312"/>
                                    <w:sz w:val="24"/>
                                  </w:rPr>
                                </w:pPr>
                                <w:r>
                                  <w:rPr>
                                    <w:rFonts w:hint="eastAsia" w:ascii="仿宋_GB2312" w:hAnsi="仿宋_GB2312" w:eastAsia="仿宋_GB2312" w:cs="仿宋_GB2312"/>
                                    <w:sz w:val="24"/>
                                  </w:rPr>
                                  <w:t>申请人补全材料</w:t>
                                </w:r>
                              </w:p>
                            </w:txbxContent>
                          </wps:txbx>
                          <wps:bodyPr upright="1"/>
                        </wps:wsp>
                        <wps:wsp>
                          <wps:cNvPr id="37" name="文本框 37"/>
                          <wps:cNvSpPr txBox="1"/>
                          <wps:spPr>
                            <a:xfrm>
                              <a:off x="5025" y="1565"/>
                              <a:ext cx="3771" cy="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15E3CC">
                                <w:pPr>
                                  <w:rPr>
                                    <w:rFonts w:ascii="仿宋_GB2312" w:hAnsi="仿宋_GB2312" w:eastAsia="仿宋_GB2312" w:cs="仿宋_GB2312"/>
                                    <w:sz w:val="24"/>
                                  </w:rPr>
                                </w:pPr>
                                <w:r>
                                  <w:rPr>
                                    <w:rFonts w:hint="eastAsia" w:ascii="仿宋_GB2312" w:hAnsi="仿宋_GB2312" w:eastAsia="仿宋_GB2312" w:cs="仿宋_GB2312"/>
                                    <w:sz w:val="24"/>
                                  </w:rPr>
                                  <w:t>一次性告知申请人补齐全部材料</w:t>
                                </w:r>
                              </w:p>
                            </w:txbxContent>
                          </wps:txbx>
                          <wps:bodyPr upright="1"/>
                        </wps:wsp>
                        <wps:wsp>
                          <wps:cNvPr id="38" name="文本框 38"/>
                          <wps:cNvSpPr txBox="1"/>
                          <wps:spPr>
                            <a:xfrm>
                              <a:off x="5048" y="2273"/>
                              <a:ext cx="3333" cy="51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C52026">
                                <w:pPr>
                                  <w:rPr>
                                    <w:rFonts w:ascii="仿宋_GB2312" w:hAnsi="仿宋_GB2312" w:eastAsia="仿宋_GB2312" w:cs="仿宋_GB2312"/>
                                    <w:sz w:val="24"/>
                                  </w:rPr>
                                </w:pPr>
                                <w:r>
                                  <w:rPr>
                                    <w:rFonts w:hint="eastAsia" w:ascii="仿宋_GB2312" w:hAnsi="仿宋_GB2312" w:eastAsia="仿宋_GB2312" w:cs="仿宋_GB2312"/>
                                    <w:sz w:val="24"/>
                                  </w:rPr>
                                  <w:t>不予受理决定，告知申请人</w:t>
                                </w:r>
                              </w:p>
                            </w:txbxContent>
                          </wps:txbx>
                          <wps:bodyPr upright="1"/>
                        </wps:wsp>
                        <wps:wsp>
                          <wps:cNvPr id="39" name="文本框 39"/>
                          <wps:cNvSpPr txBox="1"/>
                          <wps:spPr>
                            <a:xfrm>
                              <a:off x="5047" y="2905"/>
                              <a:ext cx="3317" cy="4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ADD931">
                                <w:pPr>
                                  <w:rPr>
                                    <w:rFonts w:ascii="仿宋_GB2312" w:hAnsi="仿宋_GB2312" w:eastAsia="仿宋_GB2312" w:cs="仿宋_GB2312"/>
                                    <w:sz w:val="24"/>
                                  </w:rPr>
                                </w:pPr>
                                <w:r>
                                  <w:rPr>
                                    <w:rFonts w:hint="eastAsia" w:ascii="仿宋_GB2312" w:hAnsi="仿宋_GB2312" w:eastAsia="仿宋_GB2312" w:cs="仿宋_GB2312"/>
                                    <w:sz w:val="24"/>
                                  </w:rPr>
                                  <w:t>不受理决定，告知申请人</w:t>
                                </w:r>
                              </w:p>
                            </w:txbxContent>
                          </wps:txbx>
                          <wps:bodyPr upright="1"/>
                        </wps:wsp>
                        <wps:wsp>
                          <wps:cNvPr id="40" name="文本框 40"/>
                          <wps:cNvSpPr txBox="1"/>
                          <wps:spPr>
                            <a:xfrm>
                              <a:off x="3374" y="1278"/>
                              <a:ext cx="1436" cy="597"/>
                            </a:xfrm>
                            <a:prstGeom prst="rect">
                              <a:avLst/>
                            </a:prstGeom>
                            <a:noFill/>
                            <a:ln>
                              <a:noFill/>
                            </a:ln>
                          </wps:spPr>
                          <wps:txbx>
                            <w:txbxContent>
                              <w:p w14:paraId="6F0D8394">
                                <w:pPr>
                                  <w:spacing w:line="240" w:lineRule="exact"/>
                                  <w:rPr>
                                    <w:rFonts w:ascii="仿宋_GB2312" w:hAnsi="仿宋_GB2312" w:eastAsia="仿宋_GB2312"/>
                                    <w:sz w:val="18"/>
                                  </w:rPr>
                                </w:pPr>
                                <w:r>
                                  <w:rPr>
                                    <w:rFonts w:hint="eastAsia" w:ascii="仿宋_GB2312" w:hAnsi="仿宋_GB2312" w:eastAsia="仿宋_GB2312"/>
                                    <w:sz w:val="18"/>
                                  </w:rPr>
                                  <w:t>材料不全、不符合法定形式</w:t>
                                </w:r>
                              </w:p>
                            </w:txbxContent>
                          </wps:txbx>
                          <wps:bodyPr lIns="91439" tIns="45719" rIns="91439" bIns="45719" upright="1"/>
                        </wps:wsp>
                        <wps:wsp>
                          <wps:cNvPr id="41" name="文本框 41"/>
                          <wps:cNvSpPr txBox="1"/>
                          <wps:spPr>
                            <a:xfrm>
                              <a:off x="3350" y="1919"/>
                              <a:ext cx="1436" cy="617"/>
                            </a:xfrm>
                            <a:prstGeom prst="rect">
                              <a:avLst/>
                            </a:prstGeom>
                            <a:noFill/>
                            <a:ln>
                              <a:noFill/>
                            </a:ln>
                          </wps:spPr>
                          <wps:txbx>
                            <w:txbxContent>
                              <w:p w14:paraId="06047A66">
                                <w:pPr>
                                  <w:spacing w:line="240" w:lineRule="exact"/>
                                  <w:rPr>
                                    <w:rFonts w:ascii="仿宋_GB2312" w:hAnsi="仿宋_GB2312" w:eastAsia="仿宋_GB2312"/>
                                    <w:sz w:val="18"/>
                                  </w:rPr>
                                </w:pPr>
                                <w:r>
                                  <w:rPr>
                                    <w:rFonts w:hint="eastAsia" w:ascii="仿宋_GB2312" w:hAnsi="仿宋_GB2312" w:eastAsia="仿宋_GB2312"/>
                                    <w:sz w:val="18"/>
                                  </w:rPr>
                                  <w:t>申请不属于本部门职权范围</w:t>
                                </w:r>
                              </w:p>
                            </w:txbxContent>
                          </wps:txbx>
                          <wps:bodyPr lIns="91439" tIns="45719" rIns="91439" bIns="45719" upright="1"/>
                        </wps:wsp>
                        <wps:wsp>
                          <wps:cNvPr id="42" name="文本框 42"/>
                          <wps:cNvSpPr txBox="1"/>
                          <wps:spPr>
                            <a:xfrm>
                              <a:off x="3350" y="2542"/>
                              <a:ext cx="1436" cy="616"/>
                            </a:xfrm>
                            <a:prstGeom prst="rect">
                              <a:avLst/>
                            </a:prstGeom>
                            <a:noFill/>
                            <a:ln>
                              <a:noFill/>
                            </a:ln>
                          </wps:spPr>
                          <wps:txbx>
                            <w:txbxContent>
                              <w:p w14:paraId="45DB275C">
                                <w:pPr>
                                  <w:spacing w:line="240" w:lineRule="exact"/>
                                  <w:rPr>
                                    <w:rFonts w:ascii="仿宋_GB2312" w:hAnsi="仿宋_GB2312" w:eastAsia="仿宋_GB2312"/>
                                    <w:sz w:val="18"/>
                                  </w:rPr>
                                </w:pPr>
                                <w:r>
                                  <w:rPr>
                                    <w:rFonts w:hint="eastAsia" w:ascii="仿宋_GB2312" w:hAnsi="仿宋_GB2312" w:eastAsia="仿宋_GB2312"/>
                                    <w:sz w:val="18"/>
                                  </w:rPr>
                                  <w:t>申请不需要取得行政许可</w:t>
                                </w:r>
                              </w:p>
                            </w:txbxContent>
                          </wps:txbx>
                          <wps:bodyPr lIns="91439" tIns="45719" rIns="91439" bIns="45719" upright="1"/>
                        </wps:wsp>
                        <wps:wsp>
                          <wps:cNvPr id="43" name="直接连接符 43"/>
                          <wps:cNvCnPr/>
                          <wps:spPr>
                            <a:xfrm flipH="1">
                              <a:off x="3209" y="666"/>
                              <a:ext cx="2200" cy="1"/>
                            </a:xfrm>
                            <a:prstGeom prst="line">
                              <a:avLst/>
                            </a:prstGeom>
                            <a:ln w="15875" cap="flat" cmpd="sng">
                              <a:solidFill>
                                <a:srgbClr val="000000"/>
                              </a:solidFill>
                              <a:prstDash val="solid"/>
                              <a:headEnd type="none" w="med" len="med"/>
                              <a:tailEnd type="triangle" w="med" len="med"/>
                            </a:ln>
                          </wps:spPr>
                          <wps:bodyPr/>
                        </wps:wsp>
                        <wps:wsp>
                          <wps:cNvPr id="44" name="直接连接符 44"/>
                          <wps:cNvCnPr/>
                          <wps:spPr>
                            <a:xfrm flipV="1">
                              <a:off x="6509" y="874"/>
                              <a:ext cx="1" cy="663"/>
                            </a:xfrm>
                            <a:prstGeom prst="line">
                              <a:avLst/>
                            </a:prstGeom>
                            <a:ln w="15875" cap="flat" cmpd="sng">
                              <a:solidFill>
                                <a:srgbClr val="000000"/>
                              </a:solidFill>
                              <a:prstDash val="solid"/>
                              <a:headEnd type="none" w="med" len="med"/>
                              <a:tailEnd type="triangle" w="med" len="med"/>
                            </a:ln>
                          </wps:spPr>
                          <wps:bodyPr/>
                        </wps:wsp>
                        <wps:wsp>
                          <wps:cNvPr id="45" name="直接连接符 45"/>
                          <wps:cNvCnPr/>
                          <wps:spPr>
                            <a:xfrm>
                              <a:off x="1897" y="1171"/>
                              <a:ext cx="1" cy="687"/>
                            </a:xfrm>
                            <a:prstGeom prst="line">
                              <a:avLst/>
                            </a:prstGeom>
                            <a:ln w="15875" cap="flat" cmpd="sng">
                              <a:solidFill>
                                <a:srgbClr val="000000"/>
                              </a:solidFill>
                              <a:prstDash val="solid"/>
                              <a:headEnd type="none" w="med" len="med"/>
                              <a:tailEnd type="triangle" w="med" len="med"/>
                            </a:ln>
                          </wps:spPr>
                          <wps:bodyPr/>
                        </wps:wsp>
                        <wps:wsp>
                          <wps:cNvPr id="46" name="直接连接符 46"/>
                          <wps:cNvCnPr/>
                          <wps:spPr>
                            <a:xfrm>
                              <a:off x="1934" y="3257"/>
                              <a:ext cx="1" cy="788"/>
                            </a:xfrm>
                            <a:prstGeom prst="line">
                              <a:avLst/>
                            </a:prstGeom>
                            <a:ln w="15875" cap="flat" cmpd="sng">
                              <a:solidFill>
                                <a:srgbClr val="000000"/>
                              </a:solidFill>
                              <a:prstDash val="solid"/>
                              <a:headEnd type="none" w="med" len="med"/>
                              <a:tailEnd type="triangle" w="med" len="med"/>
                            </a:ln>
                          </wps:spPr>
                          <wps:bodyPr/>
                        </wps:wsp>
                        <wps:wsp>
                          <wps:cNvPr id="47" name="直接连接符 47"/>
                          <wps:cNvCnPr/>
                          <wps:spPr>
                            <a:xfrm>
                              <a:off x="1912" y="7741"/>
                              <a:ext cx="1" cy="679"/>
                            </a:xfrm>
                            <a:prstGeom prst="line">
                              <a:avLst/>
                            </a:prstGeom>
                            <a:ln w="15875" cap="flat" cmpd="sng">
                              <a:solidFill>
                                <a:srgbClr val="000000"/>
                              </a:solidFill>
                              <a:prstDash val="solid"/>
                              <a:headEnd type="none" w="med" len="med"/>
                              <a:tailEnd type="triangle" w="med" len="med"/>
                            </a:ln>
                          </wps:spPr>
                          <wps:bodyPr/>
                        </wps:wsp>
                        <wps:wsp>
                          <wps:cNvPr id="48" name="直接连接符 48"/>
                          <wps:cNvCnPr/>
                          <wps:spPr>
                            <a:xfrm>
                              <a:off x="1909" y="10220"/>
                              <a:ext cx="1" cy="613"/>
                            </a:xfrm>
                            <a:prstGeom prst="line">
                              <a:avLst/>
                            </a:prstGeom>
                            <a:ln w="15875" cap="flat" cmpd="sng">
                              <a:solidFill>
                                <a:srgbClr val="000000"/>
                              </a:solidFill>
                              <a:prstDash val="solid"/>
                              <a:headEnd type="none" w="med" len="med"/>
                              <a:tailEnd type="triangle" w="med" len="med"/>
                            </a:ln>
                          </wps:spPr>
                          <wps:bodyPr/>
                        </wps:wsp>
                        <wps:wsp>
                          <wps:cNvPr id="49" name="直接连接符 49"/>
                          <wps:cNvCnPr/>
                          <wps:spPr>
                            <a:xfrm flipH="1">
                              <a:off x="3196" y="6653"/>
                              <a:ext cx="1113" cy="1"/>
                            </a:xfrm>
                            <a:prstGeom prst="line">
                              <a:avLst/>
                            </a:prstGeom>
                            <a:ln w="15875" cap="flat" cmpd="sng">
                              <a:solidFill>
                                <a:srgbClr val="000000"/>
                              </a:solidFill>
                              <a:prstDash val="solid"/>
                              <a:headEnd type="none" w="med" len="med"/>
                              <a:tailEnd type="triangle" w="med" len="med"/>
                            </a:ln>
                          </wps:spPr>
                          <wps:bodyPr/>
                        </wps:wsp>
                        <wps:wsp>
                          <wps:cNvPr id="50" name="直接连接符 50"/>
                          <wps:cNvCnPr/>
                          <wps:spPr>
                            <a:xfrm>
                              <a:off x="5671" y="4415"/>
                              <a:ext cx="1" cy="1238"/>
                            </a:xfrm>
                            <a:prstGeom prst="line">
                              <a:avLst/>
                            </a:prstGeom>
                            <a:ln w="15875" cap="flat" cmpd="sng">
                              <a:solidFill>
                                <a:srgbClr val="000000"/>
                              </a:solidFill>
                              <a:prstDash val="solid"/>
                              <a:headEnd type="none" w="med" len="med"/>
                              <a:tailEnd type="triangle" w="med" len="med"/>
                            </a:ln>
                          </wps:spPr>
                          <wps:bodyPr/>
                        </wps:wsp>
                        <wps:wsp>
                          <wps:cNvPr id="51" name="文本框 51"/>
                          <wps:cNvSpPr txBox="1"/>
                          <wps:spPr>
                            <a:xfrm>
                              <a:off x="2998" y="3952"/>
                              <a:ext cx="2589" cy="457"/>
                            </a:xfrm>
                            <a:prstGeom prst="rect">
                              <a:avLst/>
                            </a:prstGeom>
                            <a:noFill/>
                            <a:ln>
                              <a:noFill/>
                            </a:ln>
                          </wps:spPr>
                          <wps:txbx>
                            <w:txbxContent>
                              <w:p w14:paraId="0BA7D7D9">
                                <w:pPr>
                                  <w:spacing w:line="240" w:lineRule="atLeast"/>
                                  <w:jc w:val="center"/>
                                  <w:rPr>
                                    <w:rFonts w:hint="eastAsia" w:ascii="仿宋_GB2312" w:hAnsi="仿宋_GB2312" w:eastAsia="仿宋_GB2312"/>
                                    <w:sz w:val="18"/>
                                    <w:lang w:eastAsia="zh-CN"/>
                                  </w:rPr>
                                </w:pPr>
                                <w:r>
                                  <w:rPr>
                                    <w:rFonts w:hint="eastAsia" w:ascii="仿宋_GB2312" w:hAnsi="仿宋_GB2312" w:eastAsia="仿宋_GB2312"/>
                                    <w:sz w:val="18"/>
                                  </w:rPr>
                                  <w:t>受理</w:t>
                                </w:r>
                                <w:r>
                                  <w:rPr>
                                    <w:rFonts w:hint="eastAsia" w:ascii="仿宋_GB2312" w:hAnsi="仿宋_GB2312" w:eastAsia="仿宋_GB2312"/>
                                    <w:sz w:val="18"/>
                                    <w:lang w:eastAsia="zh-CN"/>
                                  </w:rPr>
                                  <w:t>机构</w:t>
                                </w:r>
                              </w:p>
                            </w:txbxContent>
                          </wps:txbx>
                          <wps:bodyPr lIns="91439" tIns="45719" rIns="91439" bIns="45719" upright="1"/>
                        </wps:wsp>
                        <wps:wsp>
                          <wps:cNvPr id="52" name="文本框 52"/>
                          <wps:cNvSpPr txBox="1"/>
                          <wps:spPr>
                            <a:xfrm>
                              <a:off x="1964" y="4804"/>
                              <a:ext cx="708" cy="703"/>
                            </a:xfrm>
                            <a:prstGeom prst="rect">
                              <a:avLst/>
                            </a:prstGeom>
                            <a:noFill/>
                            <a:ln>
                              <a:noFill/>
                            </a:ln>
                          </wps:spPr>
                          <wps:txbx>
                            <w:txbxContent>
                              <w:p w14:paraId="2C9F57B3">
                                <w:pPr>
                                  <w:rPr>
                                    <w:rFonts w:ascii="仿宋_GB2312" w:hAnsi="仿宋_GB2312" w:eastAsia="仿宋_GB2312"/>
                                    <w:sz w:val="18"/>
                                  </w:rPr>
                                </w:pPr>
                                <w:r>
                                  <w:rPr>
                                    <w:rFonts w:hint="eastAsia" w:ascii="仿宋_GB2312" w:hAnsi="仿宋_GB2312" w:eastAsia="仿宋_GB2312"/>
                                    <w:sz w:val="18"/>
                                  </w:rPr>
                                  <w:t>直接</w:t>
                                </w:r>
                              </w:p>
                              <w:p w14:paraId="076F9B0D">
                                <w:pPr>
                                  <w:rPr>
                                    <w:rFonts w:ascii="仿宋_GB2312" w:hAnsi="仿宋_GB2312" w:eastAsia="仿宋_GB2312"/>
                                    <w:sz w:val="18"/>
                                  </w:rPr>
                                </w:pPr>
                                <w:r>
                                  <w:rPr>
                                    <w:rFonts w:hint="eastAsia" w:ascii="仿宋_GB2312" w:hAnsi="仿宋_GB2312" w:eastAsia="仿宋_GB2312"/>
                                    <w:sz w:val="18"/>
                                  </w:rPr>
                                  <w:t>受理</w:t>
                                </w:r>
                              </w:p>
                            </w:txbxContent>
                          </wps:txbx>
                          <wps:bodyPr lIns="91439" tIns="45719" rIns="91439" bIns="45719" upright="1"/>
                        </wps:wsp>
                        <wps:wsp>
                          <wps:cNvPr id="53" name="文本框 53"/>
                          <wps:cNvSpPr txBox="1"/>
                          <wps:spPr>
                            <a:xfrm>
                              <a:off x="532" y="3257"/>
                              <a:ext cx="1340" cy="616"/>
                            </a:xfrm>
                            <a:prstGeom prst="rect">
                              <a:avLst/>
                            </a:prstGeom>
                            <a:noFill/>
                            <a:ln>
                              <a:noFill/>
                            </a:ln>
                          </wps:spPr>
                          <wps:txbx>
                            <w:txbxContent>
                              <w:p w14:paraId="39C31663">
                                <w:pPr>
                                  <w:spacing w:line="240" w:lineRule="exact"/>
                                  <w:rPr>
                                    <w:rFonts w:ascii="仿宋_GB2312" w:hAnsi="仿宋_GB2312" w:eastAsia="仿宋_GB2312"/>
                                    <w:sz w:val="18"/>
                                  </w:rPr>
                                </w:pPr>
                                <w:r>
                                  <w:rPr>
                                    <w:rFonts w:hint="eastAsia" w:ascii="仿宋_GB2312" w:hAnsi="仿宋_GB2312" w:eastAsia="仿宋_GB2312"/>
                                    <w:sz w:val="18"/>
                                  </w:rPr>
                                  <w:t>材料齐全，符合法定形式</w:t>
                                </w:r>
                              </w:p>
                            </w:txbxContent>
                          </wps:txbx>
                          <wps:bodyPr lIns="91439" tIns="45719" rIns="91439" bIns="45719" upright="1"/>
                        </wps:wsp>
                      </wpg:grpSp>
                    </wpg:wgp>
                  </a:graphicData>
                </a:graphic>
              </wp:anchor>
            </w:drawing>
          </mc:Choice>
          <mc:Fallback>
            <w:pict>
              <v:group id="_x0000_s1026" o:spid="_x0000_s1026" o:spt="203" style="position:absolute;left:0pt;margin-left:9.1pt;margin-top:8.55pt;height:583.8pt;width:439.8pt;z-index:251663360;mso-width-relative:page;mso-height-relative:page;" coordsize="8796,11676" o:gfxdata="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">
                <o:lock v:ext="edit" aspectratio="f"/>
                <v:line id="_x0000_s1026" o:spid="_x0000_s1026" o:spt="20" style="position:absolute;left:3200;top:1924;height:1;width:1831;" filled="f" stroked="t" coordsize="21600,21600" o:gfxdata="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BtU+8AAAA&#10;2wAAAA8AAAAAAAAAAQAgAAAAIgAAAGRycy9kb3ducmV2LnhtbFBLAQIUABQAAAAIAIdO4kAzLwWe&#10;OwAAADkAAAAQAAAAAAAAAAEAIAAAAAsBAABkcnMvc2hhcGV4bWwueG1sUEsFBgAAAAAGAAYAWwEA&#10;ALUDAAAAAA==&#10;">
                  <v:fill on="f" focussize="0,0"/>
                  <v:stroke weight="0.25pt" color="#000000" joinstyle="round" endarrow="block"/>
                  <v:imagedata o:title=""/>
                  <o:lock v:ext="edit" aspectratio="f"/>
                </v:line>
                <v:line id="_x0000_s1026" o:spid="_x0000_s1026" o:spt="20" style="position:absolute;left:3216;top:2516;height:1;width:1831;" filled="f" stroked="t" coordsize="21600,21600" o:gfxdata="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k0Q1L4A&#10;AADbAAAADwAAAAAAAAABACAAAAAiAAAAZHJzL2Rvd25yZXYueG1sUEsBAhQAFAAAAAgAh07iQDMv&#10;BZ47AAAAOQAAABAAAAAAAAAAAQAgAAAADQEAAGRycy9zaGFwZXhtbC54bWxQSwUGAAAAAAYABgBb&#10;AQAAtwMAAAAA&#10;">
                  <v:fill on="f" focussize="0,0"/>
                  <v:stroke weight="0.25pt" color="#000000" joinstyle="round" endarrow="block"/>
                  <v:imagedata o:title=""/>
                  <o:lock v:ext="edit" aspectratio="f"/>
                </v:line>
                <v:line id="_x0000_s1026" o:spid="_x0000_s1026" o:spt="20" style="position:absolute;left:3216;top:3124;height:1;width:1831;" filled="f" stroked="t" coordsize="21600,21600" o:gfxdata="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0oSmtwAAANsAAAAP&#10;AAAAAAAAAAEAIAAAACIAAABkcnMvZG93bnJldi54bWxQSwECFAAUAAAACACHTuJAMy8FnjsAAAA5&#10;AAAAEAAAAAAAAAABACAAAAAGAQAAZHJzL3NoYXBleG1sLnhtbFBLBQYAAAAABgAGAFsBAACwAwAA&#10;AAA=&#10;">
                  <v:fill on="f" focussize="0,0"/>
                  <v:stroke weight="0.25pt" color="#000000" joinstyle="round" endarrow="block"/>
                  <v:imagedata o:title=""/>
                  <o:lock v:ext="edit" aspectratio="f"/>
                </v:line>
                <v:group id="_x0000_s1026" o:spid="_x0000_s1026" o:spt="203" style="position:absolute;left:0;top:0;height:11676;width:8796;" coordsize="8796,11676"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463;top:1855;height:1365;width:2750;" fillcolor="#FFFFFF" filled="t" stroked="t" coordsize="21600,21600" o:gfxdata="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kVX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19992125984252pt,3.59992125984252pt,7.19992125984252pt,3.59992125984252pt">
                      <w:txbxContent>
                        <w:p w14:paraId="5379EBF1">
                          <w:pPr>
                            <w:rPr>
                              <w:rFonts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临夏州分行</w:t>
                          </w:r>
                          <w:r>
                            <w:rPr>
                              <w:rFonts w:hint="eastAsia" w:ascii="仿宋_GB2312" w:hAnsi="仿宋_GB2312" w:eastAsia="仿宋_GB2312" w:cs="仿宋_GB2312"/>
                              <w:sz w:val="24"/>
                            </w:rPr>
                            <w:t>接件，并于5个工作日内做出审查决定</w:t>
                          </w:r>
                        </w:p>
                      </w:txbxContent>
                    </v:textbox>
                  </v:shape>
                  <v:shape id="_x0000_s1026" o:spid="_x0000_s1026" o:spt="202" type="#_x0000_t202" style="position:absolute;left:1111;top:4031;height:768;width:1668;"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DDE56C6">
                          <w:pPr>
                            <w:jc w:val="center"/>
                            <w:rPr>
                              <w:rFonts w:ascii="仿宋_GB2312" w:hAnsi="仿宋_GB2312" w:eastAsia="仿宋_GB2312" w:cs="仿宋_GB2312"/>
                              <w:sz w:val="24"/>
                            </w:rPr>
                          </w:pPr>
                          <w:r>
                            <w:rPr>
                              <w:rFonts w:hint="eastAsia" w:ascii="仿宋_GB2312" w:hAnsi="仿宋_GB2312" w:eastAsia="仿宋_GB2312" w:cs="仿宋_GB2312"/>
                              <w:sz w:val="24"/>
                            </w:rPr>
                            <w:t>受理，并进行审查</w:t>
                          </w:r>
                        </w:p>
                      </w:txbxContent>
                    </v:textbox>
                  </v:shape>
                  <v:shape id="_x0000_s1026" o:spid="_x0000_s1026" o:spt="202" type="#_x0000_t202" style="position:absolute;left:4298;top:5661;height:2007;width:2918;" fillcolor="#FFFFFF" filled="t" stroked="t" coordsize="21600,21600" o:gfxdata="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0mI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ADEEB24">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临夏州分行</w:t>
                          </w:r>
                          <w:r>
                            <w:rPr>
                              <w:rFonts w:hint="eastAsia" w:ascii="仿宋_GB2312" w:hAnsi="仿宋_GB2312" w:eastAsia="仿宋_GB2312" w:cs="仿宋_GB2312"/>
                              <w:sz w:val="24"/>
                            </w:rPr>
                            <w:t>自受理行政许可申请之日起20个工作日内将初步审查意见和全部申请材料直接报送上一级机构</w:t>
                          </w:r>
                        </w:p>
                      </w:txbxContent>
                    </v:textbox>
                  </v:shape>
                  <v:shape id="_x0000_s1026" o:spid="_x0000_s1026" o:spt="202" type="#_x0000_t202" style="position:absolute;left:732;top:5622;height:2109;width:2435;"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0738019">
                          <w:pPr>
                            <w:rPr>
                              <w:rFonts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val="en-US" w:eastAsia="zh-CN"/>
                            </w:rPr>
                            <w:t>甘肃省分行</w:t>
                          </w:r>
                          <w:r>
                            <w:rPr>
                              <w:rFonts w:hint="eastAsia" w:ascii="仿宋_GB2312" w:hAnsi="仿宋_GB2312" w:eastAsia="仿宋_GB2312" w:cs="仿宋_GB2312"/>
                              <w:sz w:val="24"/>
                            </w:rPr>
                            <w:t>自受理之日起20个工作日内做出行政许可决定</w:t>
                          </w:r>
                        </w:p>
                      </w:txbxContent>
                    </v:textbox>
                  </v:shape>
                  <v:shape id="_x0000_s1026" o:spid="_x0000_s1026" o:spt="202" type="#_x0000_t202" style="position:absolute;left:0;top:8479;height:1736;width:3974;" fillcolor="#FFFFFF" filled="t" stroked="t" coordsize="21600,21600" o:gfxdata="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Mdz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4286A1C">
                          <w:pPr>
                            <w:rPr>
                              <w:rFonts w:ascii="仿宋_GB2312" w:hAnsi="仿宋_GB2312" w:eastAsia="仿宋_GB2312" w:cs="仿宋_GB2312"/>
                              <w:sz w:val="24"/>
                            </w:rPr>
                          </w:pPr>
                          <w:r>
                            <w:rPr>
                              <w:rFonts w:hint="eastAsia" w:ascii="仿宋_GB2312" w:hAnsi="仿宋_GB2312" w:eastAsia="仿宋_GB2312" w:cs="仿宋_GB2312"/>
                              <w:sz w:val="24"/>
                            </w:rPr>
                            <w:t>现场或信函申请的，通知申请人邮寄或现场领取审批结果</w:t>
                          </w:r>
                        </w:p>
                        <w:p w14:paraId="1FF0ADA7">
                          <w:pPr>
                            <w:rPr>
                              <w:rFonts w:ascii="仿宋_GB2312" w:hAnsi="仿宋_GB2312" w:eastAsia="仿宋_GB2312" w:cs="仿宋_GB2312"/>
                              <w:sz w:val="24"/>
                            </w:rPr>
                          </w:pPr>
                          <w:r>
                            <w:rPr>
                              <w:rFonts w:hint="eastAsia" w:ascii="仿宋_GB2312" w:hAnsi="仿宋_GB2312" w:eastAsia="仿宋_GB2312" w:cs="仿宋_GB2312"/>
                              <w:sz w:val="24"/>
                            </w:rPr>
                            <w:t>线上申请的，申请人通过“单一窗口”系统“进出口申请查询”栏查看审批结果</w:t>
                          </w:r>
                        </w:p>
                      </w:txbxContent>
                    </v:textbox>
                  </v:shape>
                  <v:shape id="_x0000_s1026" o:spid="_x0000_s1026" o:spt="202" type="#_x0000_t202" style="position:absolute;left:884;top:10890;height:786;width:2062;" fillcolor="#FFFFFF" filled="t" stroked="t" coordsize="21600,21600" o:gfxdata="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oW6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F7461AC">
                          <w:pPr>
                            <w:rPr>
                              <w:rFonts w:ascii="仿宋_GB2312" w:hAnsi="仿宋_GB2312" w:eastAsia="仿宋_GB2312" w:cs="仿宋_GB2312"/>
                              <w:sz w:val="24"/>
                            </w:rPr>
                          </w:pPr>
                          <w:r>
                            <w:rPr>
                              <w:rFonts w:hint="eastAsia" w:ascii="仿宋_GB2312" w:hAnsi="仿宋_GB2312" w:eastAsia="仿宋_GB2312" w:cs="仿宋_GB2312"/>
                              <w:sz w:val="24"/>
                            </w:rPr>
                            <w:t>申请人取得审批结果，办结</w:t>
                          </w:r>
                        </w:p>
                      </w:txbxContent>
                    </v:textbox>
                  </v:shape>
                  <v:shape id="_x0000_s1026" o:spid="_x0000_s1026" o:spt="202" type="#_x0000_t202" style="position:absolute;left:720;top:0;height:1129;width:2511;"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A853FA9">
                          <w:pPr>
                            <w:jc w:val="left"/>
                            <w:rPr>
                              <w:rFonts w:ascii="仿宋_GB2312" w:hAnsi="仿宋_GB2312" w:eastAsia="仿宋_GB2312" w:cs="仿宋_GB2312"/>
                              <w:sz w:val="24"/>
                            </w:rPr>
                          </w:pPr>
                          <w:r>
                            <w:rPr>
                              <w:rFonts w:hint="eastAsia" w:ascii="仿宋_GB2312" w:hAnsi="仿宋_GB2312" w:eastAsia="仿宋_GB2312" w:cs="仿宋_GB2312"/>
                              <w:sz w:val="24"/>
                            </w:rPr>
                            <w:t>申请人通过现场、信函或“单一窗口”提出申请，并提交材料</w:t>
                          </w:r>
                        </w:p>
                      </w:txbxContent>
                    </v:textbox>
                  </v:shape>
                  <v:shape id="_x0000_s1026" o:spid="_x0000_s1026" o:spt="202" type="#_x0000_t202" style="position:absolute;left:5425;top:400;height:481;width:2026;"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C78981F">
                          <w:pPr>
                            <w:rPr>
                              <w:rFonts w:ascii="仿宋_GB2312" w:hAnsi="仿宋_GB2312" w:eastAsia="仿宋_GB2312" w:cs="仿宋_GB2312"/>
                              <w:sz w:val="24"/>
                            </w:rPr>
                          </w:pPr>
                          <w:r>
                            <w:rPr>
                              <w:rFonts w:hint="eastAsia" w:ascii="仿宋_GB2312" w:hAnsi="仿宋_GB2312" w:eastAsia="仿宋_GB2312" w:cs="仿宋_GB2312"/>
                              <w:sz w:val="24"/>
                            </w:rPr>
                            <w:t>申请人补全材料</w:t>
                          </w:r>
                        </w:p>
                      </w:txbxContent>
                    </v:textbox>
                  </v:shape>
                  <v:shape id="_x0000_s1026" o:spid="_x0000_s1026" o:spt="202" type="#_x0000_t202" style="position:absolute;left:5025;top:1565;height:510;width:3771;"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E15E3CC">
                          <w:pPr>
                            <w:rPr>
                              <w:rFonts w:ascii="仿宋_GB2312" w:hAnsi="仿宋_GB2312" w:eastAsia="仿宋_GB2312" w:cs="仿宋_GB2312"/>
                              <w:sz w:val="24"/>
                            </w:rPr>
                          </w:pPr>
                          <w:r>
                            <w:rPr>
                              <w:rFonts w:hint="eastAsia" w:ascii="仿宋_GB2312" w:hAnsi="仿宋_GB2312" w:eastAsia="仿宋_GB2312" w:cs="仿宋_GB2312"/>
                              <w:sz w:val="24"/>
                            </w:rPr>
                            <w:t>一次性告知申请人补齐全部材料</w:t>
                          </w:r>
                        </w:p>
                      </w:txbxContent>
                    </v:textbox>
                  </v:shape>
                  <v:shape id="_x0000_s1026" o:spid="_x0000_s1026" o:spt="202" type="#_x0000_t202" style="position:absolute;left:5048;top:2273;height:512;width:3333;"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BC52026">
                          <w:pPr>
                            <w:rPr>
                              <w:rFonts w:ascii="仿宋_GB2312" w:hAnsi="仿宋_GB2312" w:eastAsia="仿宋_GB2312" w:cs="仿宋_GB2312"/>
                              <w:sz w:val="24"/>
                            </w:rPr>
                          </w:pPr>
                          <w:r>
                            <w:rPr>
                              <w:rFonts w:hint="eastAsia" w:ascii="仿宋_GB2312" w:hAnsi="仿宋_GB2312" w:eastAsia="仿宋_GB2312" w:cs="仿宋_GB2312"/>
                              <w:sz w:val="24"/>
                            </w:rPr>
                            <w:t>不予受理决定，告知申请人</w:t>
                          </w:r>
                        </w:p>
                      </w:txbxContent>
                    </v:textbox>
                  </v:shape>
                  <v:shape id="_x0000_s1026" o:spid="_x0000_s1026" o:spt="202" type="#_x0000_t202" style="position:absolute;left:5047;top:2905;height:486;width:3317;" fillcolor="#FFFFFF" filled="t" stroked="t"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DADD931">
                          <w:pPr>
                            <w:rPr>
                              <w:rFonts w:ascii="仿宋_GB2312" w:hAnsi="仿宋_GB2312" w:eastAsia="仿宋_GB2312" w:cs="仿宋_GB2312"/>
                              <w:sz w:val="24"/>
                            </w:rPr>
                          </w:pPr>
                          <w:r>
                            <w:rPr>
                              <w:rFonts w:hint="eastAsia" w:ascii="仿宋_GB2312" w:hAnsi="仿宋_GB2312" w:eastAsia="仿宋_GB2312" w:cs="仿宋_GB2312"/>
                              <w:sz w:val="24"/>
                            </w:rPr>
                            <w:t>不受理决定，告知申请人</w:t>
                          </w:r>
                        </w:p>
                      </w:txbxContent>
                    </v:textbox>
                  </v:shape>
                  <v:shape id="_x0000_s1026" o:spid="_x0000_s1026" o:spt="202" type="#_x0000_t202" style="position:absolute;left:3374;top:1278;height:597;width:1436;" filled="f" stroked="f" coordsize="21600,21600" o:gfxdata="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TDST7sAAADb&#10;AAAADwAAAAAAAAABACAAAAAiAAAAZHJzL2Rvd25yZXYueG1sUEsBAhQAFAAAAAgAh07iQDMvBZ47&#10;AAAAOQAAABAAAAAAAAAAAQAgAAAACgEAAGRycy9zaGFwZXhtbC54bWxQSwUGAAAAAAYABgBbAQAA&#10;tAMAAAAA&#10;">
                    <v:fill on="f" focussize="0,0"/>
                    <v:stroke on="f"/>
                    <v:imagedata o:title=""/>
                    <o:lock v:ext="edit" aspectratio="f"/>
                    <v:textbox inset="7.19992125984252pt,3.59992125984252pt,7.19992125984252pt,3.59992125984252pt">
                      <w:txbxContent>
                        <w:p w14:paraId="6F0D8394">
                          <w:pPr>
                            <w:spacing w:line="240" w:lineRule="exact"/>
                            <w:rPr>
                              <w:rFonts w:ascii="仿宋_GB2312" w:hAnsi="仿宋_GB2312" w:eastAsia="仿宋_GB2312"/>
                              <w:sz w:val="18"/>
                            </w:rPr>
                          </w:pPr>
                          <w:r>
                            <w:rPr>
                              <w:rFonts w:hint="eastAsia" w:ascii="仿宋_GB2312" w:hAnsi="仿宋_GB2312" w:eastAsia="仿宋_GB2312"/>
                              <w:sz w:val="18"/>
                            </w:rPr>
                            <w:t>材料不全、不符合法定形式</w:t>
                          </w:r>
                        </w:p>
                      </w:txbxContent>
                    </v:textbox>
                  </v:shape>
                  <v:shape id="_x0000_s1026" o:spid="_x0000_s1026" o:spt="202" type="#_x0000_t202" style="position:absolute;left:3350;top:1919;height:617;width:1436;" filled="f" stroked="f" coordsize="21600,21600" o:gfxdata="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fHfUvQAA&#10;ANsAAAAPAAAAAAAAAAEAIAAAACIAAABkcnMvZG93bnJldi54bWxQSwECFAAUAAAACACHTuJAMy8F&#10;njsAAAA5AAAAEAAAAAAAAAABACAAAAAMAQAAZHJzL3NoYXBleG1sLnhtbFBLBQYAAAAABgAGAFsB&#10;AAC2AwAAAAA=&#10;">
                    <v:fill on="f" focussize="0,0"/>
                    <v:stroke on="f"/>
                    <v:imagedata o:title=""/>
                    <o:lock v:ext="edit" aspectratio="f"/>
                    <v:textbox inset="7.19992125984252pt,3.59992125984252pt,7.19992125984252pt,3.59992125984252pt">
                      <w:txbxContent>
                        <w:p w14:paraId="06047A66">
                          <w:pPr>
                            <w:spacing w:line="240" w:lineRule="exact"/>
                            <w:rPr>
                              <w:rFonts w:ascii="仿宋_GB2312" w:hAnsi="仿宋_GB2312" w:eastAsia="仿宋_GB2312"/>
                              <w:sz w:val="18"/>
                            </w:rPr>
                          </w:pPr>
                          <w:r>
                            <w:rPr>
                              <w:rFonts w:hint="eastAsia" w:ascii="仿宋_GB2312" w:hAnsi="仿宋_GB2312" w:eastAsia="仿宋_GB2312"/>
                              <w:sz w:val="18"/>
                            </w:rPr>
                            <w:t>申请不属于本部门职权范围</w:t>
                          </w:r>
                        </w:p>
                      </w:txbxContent>
                    </v:textbox>
                  </v:shape>
                  <v:shape id="_x0000_s1026" o:spid="_x0000_s1026" o:spt="202" type="#_x0000_t202" style="position:absolute;left:3350;top:2542;height:616;width:1436;" filled="f" stroked="f" coordsize="21600,21600" o:gfxdata="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u6aO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14:paraId="45DB275C">
                          <w:pPr>
                            <w:spacing w:line="240" w:lineRule="exact"/>
                            <w:rPr>
                              <w:rFonts w:ascii="仿宋_GB2312" w:hAnsi="仿宋_GB2312" w:eastAsia="仿宋_GB2312"/>
                              <w:sz w:val="18"/>
                            </w:rPr>
                          </w:pPr>
                          <w:r>
                            <w:rPr>
                              <w:rFonts w:hint="eastAsia" w:ascii="仿宋_GB2312" w:hAnsi="仿宋_GB2312" w:eastAsia="仿宋_GB2312"/>
                              <w:sz w:val="18"/>
                            </w:rPr>
                            <w:t>申请不需要取得行政许可</w:t>
                          </w:r>
                        </w:p>
                      </w:txbxContent>
                    </v:textbox>
                  </v:shape>
                  <v:line id="_x0000_s1026" o:spid="_x0000_s1026" o:spt="20" style="position:absolute;left:3209;top:666;flip:x;height:1;width:2200;" filled="f" stroked="t" coordsize="21600,21600" o:gfxdata="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yhe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6509;top:874;flip:y;height:663;width:1;" filled="f" stroked="t" coordsize="21600,21600" o:gfxdata="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bawKr4A&#10;AADbAAAADwAAAAAAAAABACAAAAAiAAAAZHJzL2Rvd25yZXYueG1sUEsBAhQAFAAAAAgAh07iQDMv&#10;BZ47AAAAOQAAABAAAAAAAAAAAQAgAAAADQEAAGRycy9zaGFwZXhtbC54bWxQSwUGAAAAAAYABgBb&#10;AQAAtwMAAAAA&#10;">
                    <v:fill on="f" focussize="0,0"/>
                    <v:stroke weight="1.25pt" color="#000000" joinstyle="round" endarrow="block"/>
                    <v:imagedata o:title=""/>
                    <o:lock v:ext="edit" aspectratio="f"/>
                  </v:line>
                  <v:line id="_x0000_s1026" o:spid="_x0000_s1026" o:spt="20" style="position:absolute;left:1897;top:1171;height:687;width:1;" filled="f" stroked="t" coordsize="21600,21600" o:gfxdata="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2YNF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1934;top:3257;height:788;width:1;" filled="f" stroked="t" coordsize="21600,21600" o:gfxdata="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Cx0y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1912;top:7741;height:679;width:1;" filled="f" stroked="t" coordsize="21600,21600" o:gfxdata="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Ue4qbsAAADb&#10;AAAADwAAAAAAAAABACAAAAAiAAAAZHJzL2Rvd25yZXYueG1sUEsBAhQAFAAAAAgAh07iQDMvBZ47&#10;AAAAOQAAABAAAAAAAAAAAQAgAAAACgEAAGRycy9zaGFwZXhtbC54bWxQSwUGAAAAAAYABgBbAQAA&#10;tAMAAAAA&#10;">
                    <v:fill on="f" focussize="0,0"/>
                    <v:stroke weight="1.25pt" color="#000000" joinstyle="round" endarrow="block"/>
                    <v:imagedata o:title=""/>
                    <o:lock v:ext="edit" aspectratio="f"/>
                  </v:line>
                  <v:line id="_x0000_s1026" o:spid="_x0000_s1026" o:spt="20" style="position:absolute;left:1909;top:10220;height:613;width:1;" filled="f" stroked="t" coordsize="21600,21600" o:gfxdata="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2CzbugAAANs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_x0000_s1026" o:spid="_x0000_s1026" o:spt="20" style="position:absolute;left:3196;top:6653;flip:x;height:1;width:1113;" filled="f" stroked="t" coordsize="21600,21600" o:gfxdata="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tx+0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5671;top:4415;height:1238;width:1;" filled="f" stroked="t" coordsize="21600,21600" o:gfxdata="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N3tgC5AAAA2wAA&#10;AA8AAAAAAAAAAQAgAAAAIgAAAGRycy9kb3ducmV2LnhtbFBLAQIUABQAAAAIAIdO4kAzLwWeOwAA&#10;ADkAAAAQAAAAAAAAAAEAIAAAAAgBAABkcnMvc2hhcGV4bWwueG1sUEsFBgAAAAAGAAYAWwEAALID&#10;AAAAAA==&#10;">
                    <v:fill on="f" focussize="0,0"/>
                    <v:stroke weight="1.25pt" color="#000000" joinstyle="round" endarrow="block"/>
                    <v:imagedata o:title=""/>
                    <o:lock v:ext="edit" aspectratio="f"/>
                  </v:line>
                  <v:shape id="_x0000_s1026" o:spid="_x0000_s1026" o:spt="202" type="#_x0000_t202" style="position:absolute;left:2998;top:3952;height:457;width:2589;" filled="f" stroked="f" coordsize="21600,21600" o:gfxdata="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l4Qm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14:paraId="0BA7D7D9">
                          <w:pPr>
                            <w:spacing w:line="240" w:lineRule="atLeast"/>
                            <w:jc w:val="center"/>
                            <w:rPr>
                              <w:rFonts w:hint="eastAsia" w:ascii="仿宋_GB2312" w:hAnsi="仿宋_GB2312" w:eastAsia="仿宋_GB2312"/>
                              <w:sz w:val="18"/>
                              <w:lang w:eastAsia="zh-CN"/>
                            </w:rPr>
                          </w:pPr>
                          <w:r>
                            <w:rPr>
                              <w:rFonts w:hint="eastAsia" w:ascii="仿宋_GB2312" w:hAnsi="仿宋_GB2312" w:eastAsia="仿宋_GB2312"/>
                              <w:sz w:val="18"/>
                            </w:rPr>
                            <w:t>受理</w:t>
                          </w:r>
                          <w:r>
                            <w:rPr>
                              <w:rFonts w:hint="eastAsia" w:ascii="仿宋_GB2312" w:hAnsi="仿宋_GB2312" w:eastAsia="仿宋_GB2312"/>
                              <w:sz w:val="18"/>
                              <w:lang w:eastAsia="zh-CN"/>
                            </w:rPr>
                            <w:t>机构</w:t>
                          </w:r>
                        </w:p>
                      </w:txbxContent>
                    </v:textbox>
                  </v:shape>
                  <v:shape id="_x0000_s1026" o:spid="_x0000_s1026" o:spt="202" type="#_x0000_t202" style="position:absolute;left:1964;top:4804;height:703;width:708;" filled="f" stroked="f" coordsize="21600,21600" o:gfxdata="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3f36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14:paraId="2C9F57B3">
                          <w:pPr>
                            <w:rPr>
                              <w:rFonts w:ascii="仿宋_GB2312" w:hAnsi="仿宋_GB2312" w:eastAsia="仿宋_GB2312"/>
                              <w:sz w:val="18"/>
                            </w:rPr>
                          </w:pPr>
                          <w:r>
                            <w:rPr>
                              <w:rFonts w:hint="eastAsia" w:ascii="仿宋_GB2312" w:hAnsi="仿宋_GB2312" w:eastAsia="仿宋_GB2312"/>
                              <w:sz w:val="18"/>
                            </w:rPr>
                            <w:t>直接</w:t>
                          </w:r>
                        </w:p>
                        <w:p w14:paraId="076F9B0D">
                          <w:pPr>
                            <w:rPr>
                              <w:rFonts w:ascii="仿宋_GB2312" w:hAnsi="仿宋_GB2312" w:eastAsia="仿宋_GB2312"/>
                              <w:sz w:val="18"/>
                            </w:rPr>
                          </w:pPr>
                          <w:r>
                            <w:rPr>
                              <w:rFonts w:hint="eastAsia" w:ascii="仿宋_GB2312" w:hAnsi="仿宋_GB2312" w:eastAsia="仿宋_GB2312"/>
                              <w:sz w:val="18"/>
                            </w:rPr>
                            <w:t>受理</w:t>
                          </w:r>
                        </w:p>
                      </w:txbxContent>
                    </v:textbox>
                  </v:shape>
                  <v:shape id="_x0000_s1026" o:spid="_x0000_s1026" o:spt="202" type="#_x0000_t202" style="position:absolute;left:532;top:3257;height:616;width:1340;" filled="f" stroked="f" coordsize="21600,21600" o:gfxdata="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72uW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14:paraId="39C31663">
                          <w:pPr>
                            <w:spacing w:line="240" w:lineRule="exact"/>
                            <w:rPr>
                              <w:rFonts w:ascii="仿宋_GB2312" w:hAnsi="仿宋_GB2312" w:eastAsia="仿宋_GB2312"/>
                              <w:sz w:val="18"/>
                            </w:rPr>
                          </w:pPr>
                          <w:r>
                            <w:rPr>
                              <w:rFonts w:hint="eastAsia" w:ascii="仿宋_GB2312" w:hAnsi="仿宋_GB2312" w:eastAsia="仿宋_GB2312"/>
                              <w:sz w:val="18"/>
                            </w:rPr>
                            <w:t>材料齐全，符合法定形式</w:t>
                          </w:r>
                        </w:p>
                      </w:txbxContent>
                    </v:textbox>
                  </v:shape>
                </v:group>
              </v:group>
            </w:pict>
          </mc:Fallback>
        </mc:AlternateContent>
      </w:r>
    </w:p>
    <w:p w14:paraId="16D5C3F0">
      <w:pPr>
        <w:ind w:firstLine="600" w:firstLineChars="200"/>
        <w:jc w:val="left"/>
        <w:rPr>
          <w:rFonts w:ascii="仿宋_GB2312" w:hAnsi="仿宋_GB2312" w:eastAsia="仿宋_GB2312" w:cs="仿宋_GB2312"/>
          <w:sz w:val="30"/>
          <w:szCs w:val="30"/>
        </w:rPr>
      </w:pPr>
    </w:p>
    <w:p w14:paraId="0B8EDA72">
      <w:pPr>
        <w:ind w:firstLine="600" w:firstLineChars="200"/>
        <w:jc w:val="left"/>
        <w:rPr>
          <w:rFonts w:ascii="仿宋_GB2312" w:hAnsi="仿宋_GB2312" w:eastAsia="仿宋_GB2312" w:cs="仿宋_GB2312"/>
          <w:sz w:val="30"/>
          <w:szCs w:val="30"/>
        </w:rPr>
      </w:pPr>
    </w:p>
    <w:p w14:paraId="425E2658">
      <w:pPr>
        <w:jc w:val="left"/>
        <w:rPr>
          <w:rFonts w:ascii="仿宋_GB2312" w:hAnsi="仿宋_GB2312" w:eastAsia="仿宋_GB2312" w:cs="仿宋_GB2312"/>
          <w:sz w:val="24"/>
        </w:rPr>
      </w:pPr>
      <w:r>
        <w:rPr>
          <w:rFonts w:hint="eastAsia" w:ascii="仿宋_GB2312" w:hAnsi="仿宋_GB2312" w:eastAsia="仿宋_GB2312" w:cs="仿宋_GB2312"/>
          <w:sz w:val="30"/>
          <w:szCs w:val="30"/>
        </w:rPr>
        <w:t xml:space="preserve">                       </w:t>
      </w:r>
    </w:p>
    <w:p w14:paraId="2D8524EF">
      <w:pPr>
        <w:rPr>
          <w:rFonts w:ascii="仿宋_GB2312" w:hAnsi="仿宋_GB2312" w:eastAsia="仿宋_GB2312" w:cs="仿宋_GB2312"/>
          <w:sz w:val="24"/>
        </w:rPr>
      </w:pPr>
      <w:r>
        <w:rPr>
          <w:rFonts w:hint="eastAsia" w:ascii="仿宋_GB2312" w:hAnsi="仿宋_GB2312" w:eastAsia="仿宋_GB2312" w:cs="仿宋_GB2312"/>
          <w:sz w:val="30"/>
          <w:szCs w:val="30"/>
        </w:rPr>
        <w:t xml:space="preserve">        </w:t>
      </w:r>
    </w:p>
    <w:p w14:paraId="6CDD6C0B">
      <w:pPr>
        <w:jc w:val="left"/>
        <w:rPr>
          <w:rFonts w:ascii="仿宋_GB2312" w:hAnsi="仿宋_GB2312" w:eastAsia="仿宋_GB2312" w:cs="仿宋_GB2312"/>
          <w:sz w:val="30"/>
          <w:szCs w:val="30"/>
        </w:rPr>
      </w:pPr>
      <w:r>
        <w:rPr>
          <w:rFonts w:hint="eastAsia" w:ascii="仿宋_GB2312" w:hAnsi="仿宋_GB2312" w:eastAsia="仿宋_GB2312" w:cs="仿宋_GB2312"/>
          <w:sz w:val="24"/>
        </w:rPr>
        <w:t xml:space="preserve">                             </w:t>
      </w:r>
    </w:p>
    <w:p w14:paraId="548D7307">
      <w:pPr>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7947520A">
      <w:pPr>
        <w:ind w:firstLine="600" w:firstLineChars="200"/>
        <w:jc w:val="left"/>
        <w:rPr>
          <w:rFonts w:ascii="仿宋_GB2312" w:hAnsi="仿宋_GB2312" w:eastAsia="仿宋_GB2312" w:cs="仿宋_GB2312"/>
          <w:sz w:val="30"/>
          <w:szCs w:val="30"/>
        </w:rPr>
      </w:pPr>
    </w:p>
    <w:p w14:paraId="0CEB055C">
      <w:pPr>
        <w:ind w:firstLine="420" w:firstLineChars="200"/>
        <w:jc w:val="left"/>
        <w:rPr>
          <w:rFonts w:ascii="仿宋_GB2312" w:hAnsi="仿宋_GB2312" w:eastAsia="仿宋_GB2312" w:cs="仿宋_GB2312"/>
          <w:sz w:val="30"/>
          <w:szCs w:val="30"/>
        </w:rPr>
      </w:pPr>
      <w:r>
        <mc:AlternateContent>
          <mc:Choice Requires="wps">
            <w:drawing>
              <wp:anchor distT="0" distB="0" distL="114300" distR="114300" simplePos="0" relativeHeight="251661312" behindDoc="0" locked="0" layoutInCell="1" allowOverlap="1">
                <wp:simplePos x="0" y="0"/>
                <wp:positionH relativeFrom="column">
                  <wp:posOffset>1891030</wp:posOffset>
                </wp:positionH>
                <wp:positionV relativeFrom="paragraph">
                  <wp:posOffset>334645</wp:posOffset>
                </wp:positionV>
                <wp:extent cx="1841500" cy="635"/>
                <wp:effectExtent l="0" t="0" r="0" b="0"/>
                <wp:wrapNone/>
                <wp:docPr id="56" name="直接连接符 56"/>
                <wp:cNvGraphicFramePr/>
                <a:graphic xmlns:a="http://schemas.openxmlformats.org/drawingml/2006/main">
                  <a:graphicData uri="http://schemas.microsoft.com/office/word/2010/wordprocessingShape">
                    <wps:wsp>
                      <wps:cNvCnPr/>
                      <wps:spPr>
                        <a:xfrm>
                          <a:off x="0" y="0"/>
                          <a:ext cx="184150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48.9pt;margin-top:26.35pt;height:0.05pt;width:145pt;z-index:251661312;mso-width-relative:page;mso-height-relative:page;" filled="f" stroked="t" coordsize="21600,21600" o:gfxdata="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MVCAdcAAAAJAQAADwAAAAAAAAABACAAAAAiAAAAZHJzL2Rvd25yZXYueG1sUEsBAhQAFAAAAAgA&#10;h07iQFlPK6jtAQAA3QMAAA4AAAAAAAAAAQAgAAAAJgEAAGRycy9lMm9Eb2MueG1sUEsFBgAAAAAG&#10;AAYAWQEAAIUFAAAAAA==&#10;">
                <v:fill on="f" focussize="0,0"/>
                <v:stroke weight="1.25pt" color="#000000" joinstyle="round"/>
                <v:imagedata o:title=""/>
                <o:lock v:ext="edit" aspectratio="f"/>
              </v:line>
            </w:pict>
          </mc:Fallback>
        </mc:AlternateContent>
      </w:r>
    </w:p>
    <w:p w14:paraId="61009349">
      <w:pPr>
        <w:ind w:firstLine="420" w:firstLineChars="200"/>
        <w:jc w:val="left"/>
        <w:rPr>
          <w:rFonts w:ascii="仿宋_GB2312" w:hAnsi="仿宋_GB2312" w:eastAsia="仿宋_GB2312" w:cs="仿宋_GB2312"/>
          <w:sz w:val="30"/>
          <w:szCs w:val="30"/>
        </w:rPr>
      </w:pPr>
      <w:r>
        <mc:AlternateContent>
          <mc:Choice Requires="wps">
            <w:drawing>
              <wp:anchor distT="0" distB="0" distL="114300" distR="114300" simplePos="0" relativeHeight="251662336" behindDoc="0" locked="0" layoutInCell="1" allowOverlap="1">
                <wp:simplePos x="0" y="0"/>
                <wp:positionH relativeFrom="column">
                  <wp:posOffset>1343660</wp:posOffset>
                </wp:positionH>
                <wp:positionV relativeFrom="paragraph">
                  <wp:posOffset>197485</wp:posOffset>
                </wp:positionV>
                <wp:extent cx="635" cy="508000"/>
                <wp:effectExtent l="37465" t="0" r="38100" b="6350"/>
                <wp:wrapNone/>
                <wp:docPr id="57" name="直接连接符 57"/>
                <wp:cNvGraphicFramePr/>
                <a:graphic xmlns:a="http://schemas.openxmlformats.org/drawingml/2006/main">
                  <a:graphicData uri="http://schemas.microsoft.com/office/word/2010/wordprocessingShape">
                    <wps:wsp>
                      <wps:cNvCnPr/>
                      <wps:spPr>
                        <a:xfrm>
                          <a:off x="0" y="0"/>
                          <a:ext cx="635" cy="508000"/>
                        </a:xfrm>
                        <a:prstGeom prst="line">
                          <a:avLst/>
                        </a:prstGeom>
                        <a:ln w="1587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05.8pt;margin-top:15.55pt;height:40pt;width:0.05pt;z-index:251662336;mso-width-relative:page;mso-height-relative:page;" filled="f" stroked="t" coordsize="21600,21600" o:gfxdata="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Z4t1QAAAAoBAAAPAAAAAAAAAAEAIAAAACIAAABkcnMvZG93bnJldi54bWxQSwEC&#10;FAAUAAAACACHTuJAsV+vB/cBAADgAwAADgAAAAAAAAABACAAAAAkAQAAZHJzL2Uyb0RvYy54bWxQ&#10;SwUGAAAAAAYABgBZAQAAjQUAAAAA&#10;">
                <v:fill on="f" focussize="0,0"/>
                <v:stroke weight="1.25pt" color="#000000" joinstyle="round" endarrow="block"/>
                <v:imagedata o:title=""/>
                <o:lock v:ext="edit" aspectratio="f"/>
              </v:line>
            </w:pict>
          </mc:Fallback>
        </mc:AlternateContent>
      </w:r>
    </w:p>
    <w:p w14:paraId="29E67FAF">
      <w:pPr>
        <w:ind w:firstLine="600" w:firstLineChars="200"/>
        <w:jc w:val="left"/>
        <w:rPr>
          <w:rFonts w:ascii="仿宋_GB2312" w:hAnsi="仿宋_GB2312" w:eastAsia="仿宋_GB2312" w:cs="仿宋_GB2312"/>
          <w:sz w:val="30"/>
          <w:szCs w:val="30"/>
        </w:rPr>
      </w:pPr>
    </w:p>
    <w:p w14:paraId="12210195">
      <w:pPr>
        <w:ind w:firstLine="600" w:firstLineChars="200"/>
        <w:jc w:val="left"/>
        <w:rPr>
          <w:rFonts w:ascii="仿宋_GB2312" w:hAnsi="仿宋_GB2312" w:eastAsia="仿宋_GB2312" w:cs="仿宋_GB2312"/>
          <w:sz w:val="30"/>
          <w:szCs w:val="30"/>
        </w:rPr>
      </w:pPr>
    </w:p>
    <w:p w14:paraId="0BE9C1B2">
      <w:pPr>
        <w:ind w:firstLine="600" w:firstLineChars="200"/>
        <w:jc w:val="left"/>
        <w:rPr>
          <w:rFonts w:ascii="仿宋_GB2312" w:hAnsi="仿宋_GB2312" w:eastAsia="仿宋_GB2312" w:cs="仿宋_GB2312"/>
          <w:sz w:val="30"/>
          <w:szCs w:val="30"/>
        </w:rPr>
      </w:pPr>
    </w:p>
    <w:p w14:paraId="397DB65D">
      <w:pPr>
        <w:ind w:firstLine="600" w:firstLineChars="200"/>
        <w:jc w:val="left"/>
        <w:rPr>
          <w:rFonts w:ascii="仿宋_GB2312" w:hAnsi="仿宋_GB2312" w:eastAsia="仿宋_GB2312" w:cs="仿宋_GB2312"/>
          <w:sz w:val="30"/>
          <w:szCs w:val="30"/>
        </w:rPr>
      </w:pPr>
    </w:p>
    <w:p w14:paraId="3F0DD7ED">
      <w:pPr>
        <w:ind w:firstLine="600" w:firstLineChars="200"/>
        <w:jc w:val="left"/>
        <w:rPr>
          <w:rFonts w:ascii="仿宋_GB2312" w:hAnsi="仿宋_GB2312" w:eastAsia="仿宋_GB2312" w:cs="仿宋_GB2312"/>
          <w:sz w:val="30"/>
          <w:szCs w:val="30"/>
        </w:rPr>
      </w:pPr>
    </w:p>
    <w:p w14:paraId="1D176293">
      <w:pPr>
        <w:ind w:firstLine="600" w:firstLineChars="200"/>
        <w:jc w:val="left"/>
        <w:rPr>
          <w:rFonts w:ascii="仿宋_GB2312" w:hAnsi="仿宋_GB2312" w:eastAsia="仿宋_GB2312" w:cs="仿宋_GB2312"/>
          <w:sz w:val="30"/>
          <w:szCs w:val="30"/>
        </w:rPr>
      </w:pPr>
    </w:p>
    <w:p w14:paraId="1E765BDB">
      <w:pPr>
        <w:ind w:firstLine="600" w:firstLineChars="200"/>
        <w:jc w:val="left"/>
        <w:rPr>
          <w:rFonts w:ascii="仿宋_GB2312" w:hAnsi="仿宋_GB2312" w:eastAsia="仿宋_GB2312" w:cs="仿宋_GB2312"/>
          <w:sz w:val="30"/>
          <w:szCs w:val="30"/>
        </w:rPr>
      </w:pPr>
    </w:p>
    <w:p w14:paraId="28C3C3A1">
      <w:pPr>
        <w:ind w:firstLine="600" w:firstLineChars="200"/>
        <w:jc w:val="left"/>
        <w:rPr>
          <w:rFonts w:ascii="仿宋_GB2312" w:hAnsi="仿宋_GB2312" w:eastAsia="仿宋_GB2312" w:cs="仿宋_GB2312"/>
          <w:sz w:val="30"/>
          <w:szCs w:val="30"/>
        </w:rPr>
      </w:pPr>
    </w:p>
    <w:p w14:paraId="0B638521">
      <w:pPr>
        <w:ind w:firstLine="600" w:firstLineChars="200"/>
        <w:jc w:val="left"/>
        <w:rPr>
          <w:rFonts w:ascii="仿宋_GB2312" w:hAnsi="仿宋_GB2312" w:eastAsia="仿宋_GB2312" w:cs="仿宋_GB2312"/>
          <w:sz w:val="30"/>
          <w:szCs w:val="30"/>
        </w:rPr>
      </w:pPr>
    </w:p>
    <w:p w14:paraId="04015EBA">
      <w:pPr>
        <w:ind w:firstLine="600" w:firstLineChars="200"/>
        <w:jc w:val="left"/>
        <w:rPr>
          <w:rFonts w:ascii="仿宋_GB2312" w:hAnsi="仿宋_GB2312" w:eastAsia="仿宋_GB2312" w:cs="仿宋_GB2312"/>
          <w:sz w:val="30"/>
          <w:szCs w:val="30"/>
        </w:rPr>
      </w:pPr>
    </w:p>
    <w:p w14:paraId="72AAECDC">
      <w:pPr>
        <w:ind w:firstLine="480" w:firstLineChars="200"/>
        <w:jc w:val="left"/>
        <w:rPr>
          <w:rFonts w:ascii="仿宋_GB2312" w:hAnsi="仿宋_GB2312" w:eastAsia="仿宋_GB2312" w:cs="仿宋_GB2312"/>
          <w:sz w:val="24"/>
        </w:rPr>
      </w:pPr>
    </w:p>
    <w:p w14:paraId="4C48F09E">
      <w:pPr>
        <w:ind w:firstLine="723" w:firstLineChars="200"/>
        <w:jc w:val="center"/>
        <w:rPr>
          <w:rFonts w:ascii="仿宋_GB2312" w:hAnsi="仿宋_GB2312" w:eastAsia="仿宋_GB2312" w:cs="仿宋_GB2312"/>
          <w:b/>
          <w:bCs/>
          <w:sz w:val="36"/>
          <w:szCs w:val="36"/>
        </w:rPr>
      </w:pPr>
    </w:p>
    <w:p w14:paraId="34BBC517">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附录2</w:t>
      </w:r>
    </w:p>
    <w:p w14:paraId="085C4CB0">
      <w:pPr>
        <w:ind w:firstLine="640" w:firstLineChars="200"/>
        <w:jc w:val="center"/>
        <w:rPr>
          <w:rFonts w:hint="eastAsia" w:ascii="国标黑体" w:hAnsi="国标黑体" w:eastAsia="国标黑体" w:cs="国标黑体"/>
          <w:b w:val="0"/>
          <w:bCs w:val="0"/>
          <w:sz w:val="32"/>
          <w:szCs w:val="32"/>
        </w:rPr>
      </w:pPr>
      <w:r>
        <w:rPr>
          <w:rFonts w:hint="eastAsia" w:ascii="国标黑体" w:hAnsi="国标黑体" w:eastAsia="国标黑体" w:cs="国标黑体"/>
          <w:b w:val="0"/>
          <w:bCs w:val="0"/>
          <w:sz w:val="32"/>
          <w:szCs w:val="32"/>
        </w:rPr>
        <w:t>申请材料示范文本</w:t>
      </w:r>
    </w:p>
    <w:p w14:paraId="644891E5">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中国人民银行</w:t>
      </w:r>
      <w:r>
        <w:rPr>
          <w:rFonts w:hint="eastAsia" w:ascii="仿宋_GB2312" w:hAnsi="仿宋_GB2312" w:eastAsia="仿宋_GB2312" w:cs="仿宋_GB2312"/>
          <w:sz w:val="30"/>
          <w:szCs w:val="30"/>
          <w:lang w:eastAsia="zh-CN"/>
        </w:rPr>
        <w:t>临夏州</w:t>
      </w:r>
      <w:r>
        <w:rPr>
          <w:rFonts w:hint="eastAsia" w:ascii="仿宋_GB2312" w:hAnsi="仿宋_GB2312" w:eastAsia="仿宋_GB2312" w:cs="仿宋_GB2312"/>
          <w:sz w:val="30"/>
          <w:szCs w:val="30"/>
          <w:lang w:val="en-US" w:eastAsia="zh-CN"/>
        </w:rPr>
        <w:t>分行</w:t>
      </w:r>
      <w:r>
        <w:rPr>
          <w:rFonts w:hint="eastAsia" w:ascii="仿宋_GB2312" w:hAnsi="仿宋_GB2312" w:eastAsia="仿宋_GB2312" w:cs="仿宋_GB2312"/>
          <w:sz w:val="30"/>
          <w:szCs w:val="30"/>
        </w:rPr>
        <w:t>：</w:t>
      </w:r>
    </w:p>
    <w:p w14:paraId="219F1D2E">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我单位因自身生产/加工/经营需要，现提出黄金制品进/出口申请，具体情况如下：</w:t>
      </w:r>
    </w:p>
    <w:p w14:paraId="6A6A08C2">
      <w:pPr>
        <w:numPr>
          <w:ilvl w:val="0"/>
          <w:numId w:val="1"/>
        </w:num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申请人基本情况、生产经营规模和能力。 </w:t>
      </w:r>
    </w:p>
    <w:p w14:paraId="000037E9">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二、申请进出口黄金制品的主要目的、用途和计划数量等业务情况说明。</w:t>
      </w:r>
    </w:p>
    <w:p w14:paraId="2CCB9077">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三、住所（办公场所）。</w:t>
      </w:r>
    </w:p>
    <w:p w14:paraId="511937EA">
      <w:pPr>
        <w:ind w:firstLine="600" w:firstLineChars="200"/>
        <w:jc w:val="left"/>
        <w:rPr>
          <w:rFonts w:ascii="仿宋_GB2312" w:hAnsi="仿宋_GB2312" w:eastAsia="仿宋_GB2312" w:cs="仿宋_GB2312"/>
          <w:sz w:val="30"/>
          <w:szCs w:val="30"/>
        </w:rPr>
      </w:pPr>
    </w:p>
    <w:p w14:paraId="0DE14E72">
      <w:pPr>
        <w:ind w:firstLine="600" w:firstLineChars="200"/>
        <w:jc w:val="left"/>
        <w:rPr>
          <w:rFonts w:ascii="仿宋_GB2312" w:hAnsi="仿宋_GB2312" w:eastAsia="仿宋_GB2312" w:cs="仿宋_GB2312"/>
          <w:sz w:val="30"/>
          <w:szCs w:val="30"/>
        </w:rPr>
      </w:pPr>
    </w:p>
    <w:p w14:paraId="3631B236">
      <w:pPr>
        <w:ind w:firstLine="600" w:firstLineChars="20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申请单位名称</w:t>
      </w:r>
    </w:p>
    <w:p w14:paraId="17CF08D7">
      <w:pPr>
        <w:ind w:firstLine="600" w:firstLineChars="20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（公章）</w:t>
      </w:r>
    </w:p>
    <w:p w14:paraId="2CB6CDA8">
      <w:pPr>
        <w:ind w:firstLine="600" w:firstLineChars="20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14:paraId="71D9F5DD">
      <w:pPr>
        <w:ind w:firstLine="600" w:firstLineChars="200"/>
        <w:jc w:val="left"/>
        <w:rPr>
          <w:rFonts w:ascii="仿宋_GB2312" w:hAnsi="仿宋_GB2312" w:eastAsia="仿宋_GB2312" w:cs="仿宋_GB2312"/>
          <w:sz w:val="30"/>
          <w:szCs w:val="30"/>
        </w:rPr>
      </w:pPr>
    </w:p>
    <w:p w14:paraId="3714E451">
      <w:pPr>
        <w:ind w:firstLine="600" w:firstLineChars="200"/>
        <w:jc w:val="left"/>
        <w:rPr>
          <w:rFonts w:ascii="仿宋_GB2312" w:hAnsi="仿宋_GB2312" w:eastAsia="仿宋_GB2312" w:cs="仿宋_GB2312"/>
          <w:sz w:val="30"/>
          <w:szCs w:val="30"/>
        </w:rPr>
      </w:pPr>
    </w:p>
    <w:p w14:paraId="4B75FE7D">
      <w:pPr>
        <w:ind w:firstLine="600" w:firstLineChars="200"/>
        <w:jc w:val="left"/>
        <w:rPr>
          <w:rFonts w:ascii="仿宋_GB2312" w:hAnsi="仿宋_GB2312" w:eastAsia="仿宋_GB2312" w:cs="仿宋_GB2312"/>
          <w:sz w:val="30"/>
          <w:szCs w:val="30"/>
        </w:rPr>
      </w:pPr>
    </w:p>
    <w:p w14:paraId="2CEC95ED">
      <w:pPr>
        <w:ind w:firstLine="600" w:firstLineChars="200"/>
        <w:jc w:val="left"/>
        <w:rPr>
          <w:rFonts w:ascii="仿宋_GB2312" w:hAnsi="仿宋_GB2312" w:eastAsia="仿宋_GB2312" w:cs="仿宋_GB2312"/>
          <w:sz w:val="30"/>
          <w:szCs w:val="30"/>
        </w:rPr>
      </w:pPr>
    </w:p>
    <w:p w14:paraId="2373CAD3">
      <w:pPr>
        <w:ind w:firstLine="600" w:firstLineChars="200"/>
        <w:jc w:val="left"/>
        <w:rPr>
          <w:rFonts w:ascii="仿宋_GB2312" w:hAnsi="仿宋_GB2312" w:eastAsia="仿宋_GB2312" w:cs="仿宋_GB2312"/>
          <w:sz w:val="30"/>
          <w:szCs w:val="30"/>
        </w:rPr>
      </w:pPr>
    </w:p>
    <w:p w14:paraId="507FE2E3">
      <w:pPr>
        <w:ind w:firstLine="600" w:firstLineChars="200"/>
        <w:jc w:val="left"/>
        <w:rPr>
          <w:rFonts w:ascii="仿宋_GB2312" w:hAnsi="仿宋_GB2312" w:eastAsia="仿宋_GB2312" w:cs="仿宋_GB2312"/>
          <w:sz w:val="30"/>
          <w:szCs w:val="30"/>
        </w:rPr>
      </w:pPr>
    </w:p>
    <w:p w14:paraId="4651AC64">
      <w:pPr>
        <w:jc w:val="left"/>
        <w:rPr>
          <w:rFonts w:ascii="仿宋_GB2312" w:hAnsi="仿宋_GB2312" w:eastAsia="仿宋_GB2312" w:cs="仿宋_GB2312"/>
          <w:sz w:val="30"/>
          <w:szCs w:val="30"/>
        </w:rPr>
      </w:pPr>
    </w:p>
    <w:p w14:paraId="48C90FB3">
      <w:pPr>
        <w:ind w:firstLine="600" w:firstLineChars="200"/>
        <w:jc w:val="left"/>
        <w:rPr>
          <w:rFonts w:ascii="仿宋_GB2312" w:hAnsi="仿宋_GB2312" w:eastAsia="仿宋_GB2312" w:cs="仿宋_GB2312"/>
          <w:sz w:val="30"/>
          <w:szCs w:val="30"/>
        </w:rPr>
      </w:pPr>
    </w:p>
    <w:p w14:paraId="1AAE7A13">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附录3</w:t>
      </w:r>
    </w:p>
    <w:p w14:paraId="166FF44A">
      <w:pPr>
        <w:ind w:firstLine="640" w:firstLineChars="200"/>
        <w:jc w:val="center"/>
        <w:rPr>
          <w:rFonts w:hint="eastAsia" w:ascii="国标黑体" w:hAnsi="国标黑体" w:eastAsia="国标黑体" w:cs="国标黑体"/>
          <w:b w:val="0"/>
          <w:bCs w:val="0"/>
          <w:sz w:val="32"/>
          <w:szCs w:val="32"/>
        </w:rPr>
      </w:pPr>
      <w:r>
        <w:rPr>
          <w:rFonts w:hint="eastAsia" w:ascii="国标黑体" w:hAnsi="国标黑体" w:eastAsia="国标黑体" w:cs="国标黑体"/>
          <w:b w:val="0"/>
          <w:bCs w:val="0"/>
          <w:sz w:val="32"/>
          <w:szCs w:val="32"/>
        </w:rPr>
        <w:t>常见错误示例</w:t>
      </w:r>
    </w:p>
    <w:p w14:paraId="521C0ECC">
      <w:pPr>
        <w:ind w:firstLine="602" w:firstLineChars="200"/>
        <w:jc w:val="left"/>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一、申请报告抬头错误</w:t>
      </w:r>
    </w:p>
    <w:p w14:paraId="47E703D8">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错误：“人行”。</w:t>
      </w:r>
    </w:p>
    <w:p w14:paraId="002C15C4">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正确：中国人民银行</w:t>
      </w:r>
      <w:r>
        <w:rPr>
          <w:rFonts w:hint="eastAsia" w:ascii="仿宋_GB2312" w:hAnsi="仿宋_GB2312" w:eastAsia="仿宋_GB2312" w:cs="仿宋_GB2312"/>
          <w:sz w:val="30"/>
          <w:szCs w:val="30"/>
          <w:lang w:eastAsia="zh-CN"/>
        </w:rPr>
        <w:t>临夏州</w:t>
      </w:r>
      <w:r>
        <w:rPr>
          <w:rFonts w:hint="eastAsia" w:ascii="仿宋_GB2312" w:hAnsi="仿宋_GB2312" w:eastAsia="仿宋_GB2312" w:cs="仿宋_GB2312"/>
          <w:sz w:val="30"/>
          <w:szCs w:val="30"/>
          <w:lang w:val="en-US" w:eastAsia="zh-CN"/>
        </w:rPr>
        <w:t>分行</w:t>
      </w:r>
      <w:r>
        <w:rPr>
          <w:rFonts w:hint="eastAsia" w:ascii="仿宋_GB2312" w:hAnsi="仿宋_GB2312" w:eastAsia="仿宋_GB2312" w:cs="仿宋_GB2312"/>
          <w:sz w:val="30"/>
          <w:szCs w:val="30"/>
        </w:rPr>
        <w:t>。</w:t>
      </w:r>
    </w:p>
    <w:p w14:paraId="71789347">
      <w:pPr>
        <w:ind w:firstLine="602" w:firstLineChars="200"/>
        <w:jc w:val="left"/>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二、申请黄金制品进出口受理机构错误</w:t>
      </w:r>
    </w:p>
    <w:p w14:paraId="7F9D685F">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错误：注册地在北京的黄金制品进出口企业，计划在</w:t>
      </w:r>
      <w:r>
        <w:rPr>
          <w:rFonts w:hint="eastAsia" w:ascii="仿宋_GB2312" w:hAnsi="仿宋_GB2312" w:eastAsia="仿宋_GB2312" w:cs="仿宋_GB2312"/>
          <w:sz w:val="30"/>
          <w:szCs w:val="30"/>
          <w:lang w:eastAsia="zh-CN"/>
        </w:rPr>
        <w:t>临夏州</w:t>
      </w:r>
      <w:r>
        <w:rPr>
          <w:rFonts w:hint="eastAsia" w:ascii="仿宋_GB2312" w:hAnsi="仿宋_GB2312" w:eastAsia="仿宋_GB2312" w:cs="仿宋_GB2312"/>
          <w:sz w:val="30"/>
          <w:szCs w:val="30"/>
        </w:rPr>
        <w:t>开展黄金制品进出口业务，于是向中国人民银行</w:t>
      </w:r>
      <w:r>
        <w:rPr>
          <w:rFonts w:hint="eastAsia" w:ascii="仿宋_GB2312" w:hAnsi="仿宋_GB2312" w:eastAsia="仿宋_GB2312" w:cs="仿宋_GB2312"/>
          <w:sz w:val="30"/>
          <w:szCs w:val="30"/>
          <w:lang w:val="en-US" w:eastAsia="zh-CN"/>
        </w:rPr>
        <w:t>甘肃省分行</w:t>
      </w:r>
      <w:r>
        <w:rPr>
          <w:rFonts w:hint="eastAsia" w:ascii="仿宋_GB2312" w:hAnsi="仿宋_GB2312" w:eastAsia="仿宋_GB2312" w:cs="仿宋_GB2312"/>
          <w:sz w:val="30"/>
          <w:szCs w:val="30"/>
        </w:rPr>
        <w:t>递交申请。</w:t>
      </w:r>
    </w:p>
    <w:p w14:paraId="653BA36C">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正确：根据《黄金及其制品进出口管理办法》第十一条“申请黄金制品进出口的，应当向申请人住所地的中国人民银行地市级以上分支机构提交下列材料……”。因此，该黄金制品进出口企业应向中国人民银行</w:t>
      </w:r>
      <w:r>
        <w:rPr>
          <w:rFonts w:hint="eastAsia" w:ascii="仿宋_GB2312" w:hAnsi="仿宋_GB2312" w:eastAsia="仿宋_GB2312" w:cs="仿宋_GB2312"/>
          <w:sz w:val="30"/>
          <w:szCs w:val="30"/>
          <w:lang w:eastAsia="zh-CN"/>
        </w:rPr>
        <w:t>临夏州分行</w:t>
      </w:r>
      <w:r>
        <w:rPr>
          <w:rFonts w:hint="eastAsia" w:ascii="仿宋_GB2312" w:hAnsi="仿宋_GB2312" w:eastAsia="仿宋_GB2312" w:cs="仿宋_GB2312"/>
          <w:sz w:val="30"/>
          <w:szCs w:val="30"/>
        </w:rPr>
        <w:t>递交申请。</w:t>
      </w:r>
    </w:p>
    <w:p w14:paraId="4F35B3E0">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三、“单一窗口”上传的补正材料文件名错误</w:t>
      </w:r>
    </w:p>
    <w:p w14:paraId="2743D389">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错误：补正材料的文件名称与之前上传的文件同名。</w:t>
      </w:r>
    </w:p>
    <w:p w14:paraId="1CE0107E">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正确：补正材料标题应加“补正”字样。</w:t>
      </w:r>
    </w:p>
    <w:p w14:paraId="2592C77D">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四、代理协议有效期错误</w:t>
      </w:r>
    </w:p>
    <w:p w14:paraId="30FD60E1">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错误：未对有效期为长期或者自动续展的代理协议进行说明。</w:t>
      </w:r>
    </w:p>
    <w:p w14:paraId="60181741">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正确：对明确有效期为长期或自动续展的代理协议，需另外提交加盖申请人公章的说明材料。并随代理协议通过“单一窗口”系统上传。</w:t>
      </w:r>
    </w:p>
    <w:p w14:paraId="346AAC0E">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附录4</w:t>
      </w:r>
    </w:p>
    <w:p w14:paraId="048CE71D">
      <w:pPr>
        <w:ind w:firstLine="602" w:firstLineChars="200"/>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常见问题解答</w:t>
      </w:r>
    </w:p>
    <w:p w14:paraId="5320AD30">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一、申请进出口哪些黄金制品需要中国人民银行出具准许证？</w:t>
      </w:r>
    </w:p>
    <w:p w14:paraId="3C175554">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答：详见中国人民银行海关总署最新公告。目前执行中国人民银行海关总署公告（</w:t>
      </w:r>
      <w:r>
        <w:rPr>
          <w:rFonts w:hint="eastAsia" w:ascii="仿宋" w:hAnsi="仿宋" w:eastAsia="仿宋" w:cs="仿宋"/>
          <w:sz w:val="30"/>
          <w:szCs w:val="30"/>
        </w:rPr>
        <w:t>〔</w:t>
      </w:r>
      <w:r>
        <w:rPr>
          <w:rFonts w:hint="eastAsia" w:ascii="仿宋_GB2312" w:hAnsi="仿宋_GB2312" w:eastAsia="仿宋_GB2312" w:cs="仿宋_GB2312"/>
          <w:sz w:val="30"/>
          <w:szCs w:val="30"/>
        </w:rPr>
        <w:t>2016</w:t>
      </w:r>
      <w:r>
        <w:rPr>
          <w:rFonts w:hint="eastAsia" w:ascii="仿宋" w:hAnsi="仿宋" w:eastAsia="仿宋" w:cs="仿宋"/>
          <w:sz w:val="30"/>
          <w:szCs w:val="30"/>
        </w:rPr>
        <w:t>〕</w:t>
      </w:r>
      <w:r>
        <w:rPr>
          <w:rFonts w:hint="eastAsia" w:ascii="仿宋_GB2312" w:hAnsi="仿宋_GB2312" w:eastAsia="仿宋_GB2312" w:cs="仿宋_GB2312"/>
          <w:sz w:val="30"/>
          <w:szCs w:val="30"/>
        </w:rPr>
        <w:t>第32号）。</w:t>
      </w:r>
    </w:p>
    <w:p w14:paraId="4F57E09C">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二、以加工贸易方式进出口需要申请准许证吗？</w:t>
      </w:r>
    </w:p>
    <w:p w14:paraId="267E2C67">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答：不需要。</w:t>
      </w:r>
    </w:p>
    <w:p w14:paraId="2B278BD4">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三、申请黄金制品进出口是否收费？</w:t>
      </w:r>
    </w:p>
    <w:p w14:paraId="0A198BA0">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答：不收费。</w:t>
      </w:r>
    </w:p>
    <w:p w14:paraId="46FAEBEF">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四、如何查询黄金制品进出口申请办理进程和结果？</w:t>
      </w:r>
    </w:p>
    <w:p w14:paraId="5DF3CAFD">
      <w:pPr>
        <w:ind w:firstLine="600" w:firstLineChars="200"/>
        <w:jc w:val="left"/>
        <w:outlineLvl w:val="0"/>
      </w:pPr>
      <w:r>
        <w:rPr>
          <w:rFonts w:hint="eastAsia" w:ascii="仿宋_GB2312" w:hAnsi="仿宋_GB2312" w:eastAsia="仿宋_GB2312" w:cs="仿宋_GB2312"/>
          <w:sz w:val="30"/>
          <w:szCs w:val="30"/>
        </w:rPr>
        <w:t>答：可通过“单一窗口”黄金及黄金制品进出口准许证系统“进出口申请查询”功能查看办理进程和结果。也可通过电话等方式与中国人民银行</w:t>
      </w:r>
      <w:r>
        <w:rPr>
          <w:rFonts w:hint="eastAsia" w:ascii="仿宋_GB2312" w:hAnsi="仿宋_GB2312" w:eastAsia="仿宋_GB2312" w:cs="仿宋_GB2312"/>
          <w:sz w:val="30"/>
          <w:szCs w:val="30"/>
          <w:lang w:eastAsia="zh-CN"/>
        </w:rPr>
        <w:t>临夏州</w:t>
      </w:r>
      <w:r>
        <w:rPr>
          <w:rFonts w:hint="eastAsia" w:ascii="仿宋_GB2312" w:hAnsi="仿宋_GB2312" w:eastAsia="仿宋_GB2312" w:cs="仿宋_GB2312"/>
          <w:sz w:val="30"/>
          <w:szCs w:val="30"/>
          <w:lang w:val="en-US" w:eastAsia="zh-CN"/>
        </w:rPr>
        <w:t>分行</w:t>
      </w:r>
      <w:r>
        <w:rPr>
          <w:rFonts w:hint="eastAsia" w:ascii="仿宋_GB2312" w:hAnsi="仿宋_GB2312" w:eastAsia="仿宋_GB2312" w:cs="仿宋_GB2312"/>
          <w:sz w:val="30"/>
          <w:szCs w:val="30"/>
        </w:rPr>
        <w:t>联系。</w:t>
      </w:r>
    </w:p>
    <w:sectPr>
      <w:footerReference r:id="rId4" w:type="default"/>
      <w:endnotePr>
        <w:numFmt w:val="decimal"/>
      </w:end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A6CB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54D5D7">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８</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e1Juc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FtQ5coieMWJ37++eP868/593eC&#10;PhSoD1Bj3l3AzDR88AOuzewHdGbeg4o2f5ERwThinS7yyiERkR+tlqtVhSGBsfmC+OzpeYiQPkpv&#10;STYaGnF+RVZ+/AxpTJ1TcjXnb7UxZYbG/eVAzOxhufexx2ylYTdMhHa+PSGfHkffUIebTon55FBZ&#10;7C/NRpyN3WTkGhDeHxIWLv1k1BFqKoZzKoymncqL8Pxesp7+o80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ntSbnCAQAAjwMAAA4AAAAAAAAAAQAgAAAAHgEAAGRycy9lMm9Eb2MueG1sUEsF&#10;BgAAAAAGAAYAWQEAAFIFAAAAAA==&#10;">
              <v:fill on="f" focussize="0,0"/>
              <v:stroke on="f"/>
              <v:imagedata o:title=""/>
              <o:lock v:ext="edit" aspectratio="f"/>
              <v:textbox inset="0mm,0mm,0mm,0mm" style="mso-fit-shape-to-text:t;">
                <w:txbxContent>
                  <w:p w14:paraId="5554D5D7">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８</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C5146">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1F0200">
                          <w:pPr>
                            <w:pStyle w:val="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E1F0200">
                    <w:pPr>
                      <w:pStyle w:val="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C1F3E"/>
    <w:multiLevelType w:val="singleLevel"/>
    <w:tmpl w:val="D7DC1F3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12DEC"/>
    <w:rsid w:val="004D15ED"/>
    <w:rsid w:val="00634429"/>
    <w:rsid w:val="00F33953"/>
    <w:rsid w:val="01EC4859"/>
    <w:rsid w:val="027A505E"/>
    <w:rsid w:val="05B964F1"/>
    <w:rsid w:val="0620697A"/>
    <w:rsid w:val="08AC0FE5"/>
    <w:rsid w:val="0A1A096B"/>
    <w:rsid w:val="0B6F289E"/>
    <w:rsid w:val="0D5758D1"/>
    <w:rsid w:val="0E781A4E"/>
    <w:rsid w:val="101C4459"/>
    <w:rsid w:val="10982A1F"/>
    <w:rsid w:val="10993AFE"/>
    <w:rsid w:val="10D15584"/>
    <w:rsid w:val="10D728AF"/>
    <w:rsid w:val="18625DD6"/>
    <w:rsid w:val="1A412DEC"/>
    <w:rsid w:val="1A5307AE"/>
    <w:rsid w:val="2CA2367B"/>
    <w:rsid w:val="33FFE0D8"/>
    <w:rsid w:val="34154B45"/>
    <w:rsid w:val="345444E5"/>
    <w:rsid w:val="3B880DCD"/>
    <w:rsid w:val="3E247E48"/>
    <w:rsid w:val="3E9FFF4D"/>
    <w:rsid w:val="412D355D"/>
    <w:rsid w:val="46533F49"/>
    <w:rsid w:val="49AA2BE7"/>
    <w:rsid w:val="4B163E5A"/>
    <w:rsid w:val="4CC86DDB"/>
    <w:rsid w:val="50042474"/>
    <w:rsid w:val="56B77318"/>
    <w:rsid w:val="6CB96B44"/>
    <w:rsid w:val="6CF83620"/>
    <w:rsid w:val="6D3920DA"/>
    <w:rsid w:val="6DBB6A2C"/>
    <w:rsid w:val="6F4C4B80"/>
    <w:rsid w:val="6FA44A8B"/>
    <w:rsid w:val="722C4E77"/>
    <w:rsid w:val="73537FCB"/>
    <w:rsid w:val="77F755AE"/>
    <w:rsid w:val="7B6B3799"/>
    <w:rsid w:val="7C8520E3"/>
    <w:rsid w:val="7DBF7414"/>
    <w:rsid w:val="7F7762E9"/>
    <w:rsid w:val="7FDF3556"/>
    <w:rsid w:val="ABA72D24"/>
    <w:rsid w:val="DFE76E38"/>
    <w:rsid w:val="E59FD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Indent 3"/>
    <w:basedOn w:val="1"/>
    <w:unhideWhenUsed/>
    <w:qFormat/>
    <w:uiPriority w:val="0"/>
    <w:pPr>
      <w:ind w:firstLine="640"/>
    </w:pPr>
    <w:rPr>
      <w:rFonts w:hint="eastAsia" w:ascii="仿宋_GB2312" w:eastAsia="仿宋_GB2312"/>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3436</Words>
  <Characters>3553</Characters>
  <Lines>28</Lines>
  <Paragraphs>8</Paragraphs>
  <TotalTime>2</TotalTime>
  <ScaleCrop>false</ScaleCrop>
  <LinksUpToDate>false</LinksUpToDate>
  <CharactersWithSpaces>3772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2021-11-04T07:41:00Z</dcterms:created>
  <dc:creator>a</dc:creator>
  <cp:lastModifiedBy>chrisldp</cp:lastModifiedBy>
  <cp:lastPrinted>2023-03-09T06:17:00Z</cp:lastPrinted>
  <dcterms:modified xsi:type="dcterms:W3CDTF">2025-11-13T08:58:09Z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65D74191F3F1543D1187EF68075B0D76</vt:lpwstr>
  </property>
  <property fmtid="{D5CDD505-2E9C-101B-9397-08002B2CF9AE}" pid="4" name="KSOTemplateDocerSaveRecord">
    <vt:lpwstr>eyJoZGlkIjoiZmEwNGViOTgyOGVhODcwMzViZmM1YjcyNTNlZmZjYjEiLCJ1c2VySWQiOiIxMTQxMTA2MjQ0In0=</vt:lpwstr>
  </property>
</Properties>
</file>